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F37" w:rsidRPr="009730E0" w:rsidRDefault="00D47F37">
      <w:pPr>
        <w:pStyle w:val="Header"/>
        <w:tabs>
          <w:tab w:val="clear" w:pos="4800"/>
          <w:tab w:val="center" w:pos="4950"/>
        </w:tabs>
        <w:ind w:right="-10"/>
        <w:rPr>
          <w:rFonts w:ascii="Arial" w:hAnsi="Arial" w:cs="Arial"/>
          <w:b/>
          <w:sz w:val="32"/>
          <w:szCs w:val="18"/>
        </w:rPr>
      </w:pPr>
      <w:r w:rsidRPr="009730E0">
        <w:rPr>
          <w:rFonts w:ascii="Arial" w:hAnsi="Arial" w:cs="Arial"/>
          <w:b/>
          <w:sz w:val="32"/>
          <w:szCs w:val="18"/>
        </w:rPr>
        <w:t>The Role of Women in the Church</w:t>
      </w:r>
    </w:p>
    <w:p w:rsidR="00D47F37" w:rsidRPr="009730E0" w:rsidRDefault="00D47F37" w:rsidP="00AD17EF">
      <w:pPr>
        <w:rPr>
          <w:rFonts w:ascii="Arial" w:hAnsi="Arial" w:cs="Arial"/>
          <w:sz w:val="22"/>
          <w:szCs w:val="18"/>
        </w:rPr>
      </w:pPr>
    </w:p>
    <w:p w:rsidR="00AD17EF" w:rsidRPr="009730E0" w:rsidRDefault="00AD17EF" w:rsidP="00AD17EF">
      <w:pPr>
        <w:rPr>
          <w:rFonts w:ascii="Arial" w:hAnsi="Arial" w:cs="Arial"/>
          <w:sz w:val="21"/>
          <w:szCs w:val="18"/>
        </w:rPr>
      </w:pPr>
      <w:r w:rsidRPr="009730E0">
        <w:rPr>
          <w:rFonts w:ascii="Arial" w:hAnsi="Arial" w:cs="Arial"/>
          <w:sz w:val="21"/>
          <w:szCs w:val="18"/>
        </w:rPr>
        <w:t xml:space="preserve">Paul wrote to Timothy, who gave pastoral oversight in Ephesus (1 Timothy 2:11-12 </w:t>
      </w:r>
      <w:r w:rsidRPr="000320CA">
        <w:rPr>
          <w:rFonts w:ascii="Arial" w:hAnsi="Arial" w:cs="Arial"/>
          <w:sz w:val="18"/>
          <w:szCs w:val="15"/>
        </w:rPr>
        <w:t>NIV</w:t>
      </w:r>
      <w:r w:rsidRPr="009730E0">
        <w:rPr>
          <w:rFonts w:ascii="Arial" w:hAnsi="Arial" w:cs="Arial"/>
          <w:sz w:val="21"/>
          <w:szCs w:val="18"/>
        </w:rPr>
        <w:t>):</w:t>
      </w:r>
    </w:p>
    <w:p w:rsidR="00AD17EF" w:rsidRPr="009730E0" w:rsidRDefault="00AD17EF" w:rsidP="00AD17EF">
      <w:pPr>
        <w:rPr>
          <w:rFonts w:ascii="Arial" w:hAnsi="Arial" w:cs="Arial"/>
          <w:sz w:val="21"/>
          <w:szCs w:val="18"/>
        </w:rPr>
      </w:pPr>
    </w:p>
    <w:p w:rsidR="00AD17EF" w:rsidRPr="009730E0" w:rsidRDefault="00AD17EF" w:rsidP="00AD17EF">
      <w:pPr>
        <w:pBdr>
          <w:top w:val="single" w:sz="6" w:space="1" w:color="auto" w:shadow="1"/>
          <w:left w:val="single" w:sz="6" w:space="0" w:color="auto" w:shadow="1"/>
          <w:bottom w:val="single" w:sz="6" w:space="1" w:color="auto" w:shadow="1"/>
          <w:right w:val="single" w:sz="6" w:space="4" w:color="auto" w:shadow="1"/>
        </w:pBdr>
        <w:jc w:val="center"/>
        <w:rPr>
          <w:rFonts w:ascii="Arial" w:hAnsi="Arial" w:cs="Arial"/>
          <w:color w:val="000000"/>
          <w:sz w:val="18"/>
          <w:szCs w:val="18"/>
        </w:rPr>
      </w:pPr>
      <w:r w:rsidRPr="009730E0">
        <w:rPr>
          <w:rFonts w:ascii="Arial" w:hAnsi="Arial" w:cs="Arial"/>
          <w:color w:val="000000"/>
          <w:sz w:val="18"/>
          <w:szCs w:val="18"/>
        </w:rPr>
        <w:t xml:space="preserve">“A woman should learn in quietness and full submission.  </w:t>
      </w:r>
    </w:p>
    <w:p w:rsidR="00AD17EF" w:rsidRPr="009730E0" w:rsidRDefault="00AD17EF" w:rsidP="00AD17EF">
      <w:pPr>
        <w:pBdr>
          <w:top w:val="single" w:sz="6" w:space="1" w:color="auto" w:shadow="1"/>
          <w:left w:val="single" w:sz="6" w:space="0" w:color="auto" w:shadow="1"/>
          <w:bottom w:val="single" w:sz="6" w:space="1" w:color="auto" w:shadow="1"/>
          <w:right w:val="single" w:sz="6" w:space="4" w:color="auto" w:shadow="1"/>
        </w:pBdr>
        <w:jc w:val="center"/>
        <w:rPr>
          <w:rFonts w:ascii="Arial" w:hAnsi="Arial" w:cs="Arial"/>
          <w:color w:val="000000"/>
          <w:sz w:val="18"/>
          <w:szCs w:val="18"/>
        </w:rPr>
      </w:pPr>
      <w:r w:rsidRPr="009730E0">
        <w:rPr>
          <w:rFonts w:ascii="Arial" w:hAnsi="Arial" w:cs="Arial"/>
          <w:color w:val="000000"/>
          <w:sz w:val="18"/>
          <w:szCs w:val="18"/>
          <w:vertAlign w:val="superscript"/>
        </w:rPr>
        <w:t>12</w:t>
      </w:r>
      <w:r w:rsidRPr="009730E0">
        <w:rPr>
          <w:rFonts w:ascii="Arial" w:hAnsi="Arial" w:cs="Arial"/>
          <w:color w:val="000000"/>
          <w:sz w:val="18"/>
          <w:szCs w:val="18"/>
        </w:rPr>
        <w:t>I do not permit a woman to teach or to have authority over a man; she must be silent.”</w:t>
      </w:r>
    </w:p>
    <w:p w:rsidR="00AD17EF" w:rsidRPr="009730E0" w:rsidRDefault="00AD17EF" w:rsidP="00AD17EF">
      <w:pPr>
        <w:rPr>
          <w:rFonts w:ascii="Arial" w:hAnsi="Arial" w:cs="Arial"/>
          <w:sz w:val="21"/>
          <w:szCs w:val="18"/>
        </w:rPr>
      </w:pPr>
    </w:p>
    <w:p w:rsidR="00AD17EF" w:rsidRPr="009730E0" w:rsidRDefault="00AD17EF" w:rsidP="00877020">
      <w:pPr>
        <w:rPr>
          <w:rFonts w:ascii="Arial" w:hAnsi="Arial" w:cs="Arial"/>
          <w:sz w:val="21"/>
          <w:szCs w:val="18"/>
        </w:rPr>
      </w:pPr>
      <w:r w:rsidRPr="009730E0">
        <w:rPr>
          <w:rFonts w:ascii="Arial" w:hAnsi="Arial" w:cs="Arial"/>
          <w:sz w:val="21"/>
          <w:szCs w:val="18"/>
        </w:rPr>
        <w:t xml:space="preserve">Many issues strike the modern reader about this text.  In what </w:t>
      </w:r>
      <w:r w:rsidRPr="009730E0">
        <w:rPr>
          <w:rFonts w:ascii="Arial" w:hAnsi="Arial" w:cs="Arial"/>
          <w:i/>
          <w:sz w:val="21"/>
          <w:szCs w:val="18"/>
        </w:rPr>
        <w:t>context</w:t>
      </w:r>
      <w:r w:rsidRPr="009730E0">
        <w:rPr>
          <w:rFonts w:ascii="Arial" w:hAnsi="Arial" w:cs="Arial"/>
          <w:sz w:val="21"/>
          <w:szCs w:val="18"/>
        </w:rPr>
        <w:t xml:space="preserve"> do these restrictions appear?  What is </w:t>
      </w:r>
      <w:r w:rsidRPr="009730E0">
        <w:rPr>
          <w:rFonts w:ascii="Arial" w:hAnsi="Arial" w:cs="Arial"/>
          <w:i/>
          <w:sz w:val="21"/>
          <w:szCs w:val="18"/>
        </w:rPr>
        <w:t>meant</w:t>
      </w:r>
      <w:r w:rsidRPr="009730E0">
        <w:rPr>
          <w:rFonts w:ascii="Arial" w:hAnsi="Arial" w:cs="Arial"/>
          <w:sz w:val="21"/>
          <w:szCs w:val="18"/>
        </w:rPr>
        <w:t xml:space="preserve"> by “exercise authority</w:t>
      </w:r>
      <w:r w:rsidRPr="009730E0">
        <w:rPr>
          <w:rFonts w:ascii="Arial" w:hAnsi="Arial" w:cs="Arial"/>
          <w:i/>
          <w:sz w:val="21"/>
          <w:szCs w:val="18"/>
        </w:rPr>
        <w:t>”</w:t>
      </w:r>
      <w:r w:rsidRPr="009730E0">
        <w:rPr>
          <w:rFonts w:ascii="Arial" w:hAnsi="Arial" w:cs="Arial"/>
          <w:sz w:val="21"/>
          <w:szCs w:val="18"/>
        </w:rPr>
        <w:t xml:space="preserve"> and is it negative or neutral?  Are these limits </w:t>
      </w:r>
      <w:r w:rsidRPr="009730E0">
        <w:rPr>
          <w:rFonts w:ascii="Arial" w:hAnsi="Arial" w:cs="Arial"/>
          <w:i/>
          <w:sz w:val="21"/>
          <w:szCs w:val="18"/>
        </w:rPr>
        <w:t>culturally</w:t>
      </w:r>
      <w:r w:rsidRPr="009730E0">
        <w:rPr>
          <w:rFonts w:ascii="Arial" w:hAnsi="Arial" w:cs="Arial"/>
          <w:sz w:val="21"/>
          <w:szCs w:val="18"/>
        </w:rPr>
        <w:t xml:space="preserve"> defined, applying only to first century Ephesus or to today too?  If they </w:t>
      </w:r>
      <w:r w:rsidRPr="009730E0">
        <w:rPr>
          <w:rFonts w:ascii="Arial" w:hAnsi="Arial" w:cs="Arial"/>
          <w:i/>
          <w:sz w:val="21"/>
          <w:szCs w:val="18"/>
        </w:rPr>
        <w:t>apply</w:t>
      </w:r>
      <w:r w:rsidRPr="009730E0">
        <w:rPr>
          <w:rFonts w:ascii="Arial" w:hAnsi="Arial" w:cs="Arial"/>
          <w:sz w:val="21"/>
          <w:szCs w:val="18"/>
        </w:rPr>
        <w:t xml:space="preserve"> today, then how—which ministries convey authority and are limited to men?  These four issues are addressed below.</w:t>
      </w:r>
    </w:p>
    <w:p w:rsidR="00AD17EF" w:rsidRPr="009730E0" w:rsidRDefault="00AD17EF" w:rsidP="00877020">
      <w:pPr>
        <w:pStyle w:val="Heading1"/>
        <w:ind w:right="-10"/>
        <w:jc w:val="left"/>
        <w:rPr>
          <w:rFonts w:ascii="Arial" w:hAnsi="Arial" w:cs="Arial"/>
          <w:sz w:val="21"/>
          <w:szCs w:val="18"/>
        </w:rPr>
      </w:pPr>
      <w:r w:rsidRPr="009730E0">
        <w:rPr>
          <w:rFonts w:ascii="Arial" w:hAnsi="Arial" w:cs="Arial"/>
          <w:sz w:val="21"/>
          <w:szCs w:val="18"/>
          <w:u w:val="single"/>
        </w:rPr>
        <w:t>Context</w:t>
      </w:r>
      <w:r w:rsidRPr="009730E0">
        <w:rPr>
          <w:rFonts w:ascii="Arial" w:hAnsi="Arial" w:cs="Arial"/>
          <w:sz w:val="21"/>
          <w:szCs w:val="18"/>
        </w:rPr>
        <w:t>: Do these limits apply to both private and public arenas?</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The six chapters of 1 Timothy alternate from teaching for Timothy (1), the church (2–3), Timothy (4), the church (5:1–6:10), and finally back to Timothy (6:11-21).  The basic exhortation is that he makes sure order exists in both in his personal life and the church.</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Our text on women concerns order within </w:t>
      </w:r>
      <w:r w:rsidRPr="009730E0">
        <w:rPr>
          <w:rFonts w:ascii="Arial" w:hAnsi="Arial" w:cs="Arial"/>
          <w:i/>
          <w:sz w:val="21"/>
          <w:szCs w:val="18"/>
        </w:rPr>
        <w:t>public worship</w:t>
      </w:r>
      <w:r w:rsidRPr="009730E0">
        <w:rPr>
          <w:rFonts w:ascii="Arial" w:hAnsi="Arial" w:cs="Arial"/>
          <w:sz w:val="21"/>
          <w:szCs w:val="18"/>
        </w:rPr>
        <w:t xml:space="preserve"> for these reasons:</w:t>
      </w:r>
    </w:p>
    <w:p w:rsidR="00AD17EF" w:rsidRPr="009730E0" w:rsidRDefault="00AD17EF" w:rsidP="00877020">
      <w:pPr>
        <w:pStyle w:val="Heading3"/>
        <w:jc w:val="left"/>
        <w:rPr>
          <w:rFonts w:ascii="Arial" w:hAnsi="Arial" w:cs="Arial"/>
          <w:sz w:val="21"/>
          <w:szCs w:val="18"/>
        </w:rPr>
      </w:pPr>
      <w:r w:rsidRPr="009730E0">
        <w:rPr>
          <w:rFonts w:ascii="Arial" w:hAnsi="Arial" w:cs="Arial"/>
          <w:sz w:val="21"/>
          <w:szCs w:val="18"/>
        </w:rPr>
        <w:t>“I urge, then, first of all,” (2:1) indicates a change in subject from the more private “Timothy, my son” exhortations (1:18) of the previous context.</w:t>
      </w:r>
    </w:p>
    <w:p w:rsidR="00AD17EF" w:rsidRPr="009730E0" w:rsidRDefault="00AD17EF" w:rsidP="00877020">
      <w:pPr>
        <w:pStyle w:val="Heading3"/>
        <w:jc w:val="left"/>
        <w:rPr>
          <w:rFonts w:ascii="Arial" w:hAnsi="Arial" w:cs="Arial"/>
          <w:sz w:val="21"/>
          <w:szCs w:val="18"/>
        </w:rPr>
      </w:pPr>
      <w:r w:rsidRPr="009730E0">
        <w:rPr>
          <w:rFonts w:ascii="Arial" w:hAnsi="Arial" w:cs="Arial"/>
          <w:sz w:val="21"/>
          <w:szCs w:val="18"/>
        </w:rPr>
        <w:t>The command, “I want men everywhere to lift up holy hands in prayer” (2:8) does not mean women cannot pray in private.  The context is the gathered church assembly.</w:t>
      </w:r>
    </w:p>
    <w:p w:rsidR="00AD17EF" w:rsidRPr="009730E0" w:rsidRDefault="00AD17EF" w:rsidP="00877020">
      <w:pPr>
        <w:pStyle w:val="Heading3"/>
        <w:jc w:val="left"/>
        <w:rPr>
          <w:rFonts w:ascii="Arial" w:hAnsi="Arial" w:cs="Arial"/>
          <w:sz w:val="21"/>
          <w:szCs w:val="18"/>
        </w:rPr>
      </w:pPr>
      <w:r w:rsidRPr="009730E0">
        <w:rPr>
          <w:rFonts w:ascii="Arial" w:hAnsi="Arial" w:cs="Arial"/>
          <w:sz w:val="21"/>
          <w:szCs w:val="18"/>
        </w:rPr>
        <w:t>The prescription for modest dress (2:9-10) would make little sense privately.</w:t>
      </w:r>
    </w:p>
    <w:p w:rsidR="00AD17EF" w:rsidRPr="009730E0" w:rsidRDefault="00AD17EF" w:rsidP="00877020">
      <w:pPr>
        <w:pStyle w:val="Heading3"/>
        <w:jc w:val="left"/>
        <w:rPr>
          <w:rFonts w:ascii="Arial" w:hAnsi="Arial" w:cs="Arial"/>
          <w:sz w:val="21"/>
          <w:szCs w:val="18"/>
        </w:rPr>
      </w:pPr>
      <w:r w:rsidRPr="009730E0">
        <w:rPr>
          <w:rFonts w:ascii="Arial" w:hAnsi="Arial" w:cs="Arial"/>
          <w:sz w:val="21"/>
          <w:szCs w:val="18"/>
        </w:rPr>
        <w:t>The exhortation for women to “learn in quietness and full submission” (2:11) obviously refers to the public assembly since parents—both mothers and fathers—are elsewhere commanded to teach children at home (e.g., Deut. 4:9-10; 11:14).</w:t>
      </w:r>
    </w:p>
    <w:p w:rsidR="00AD17EF" w:rsidRPr="009730E0" w:rsidRDefault="00AD17EF" w:rsidP="00877020">
      <w:pPr>
        <w:pStyle w:val="Heading1"/>
        <w:ind w:right="-10"/>
        <w:jc w:val="left"/>
        <w:rPr>
          <w:rFonts w:ascii="Arial" w:hAnsi="Arial" w:cs="Arial"/>
          <w:sz w:val="21"/>
          <w:szCs w:val="18"/>
        </w:rPr>
      </w:pPr>
      <w:r w:rsidRPr="009730E0">
        <w:rPr>
          <w:rFonts w:ascii="Arial" w:hAnsi="Arial" w:cs="Arial"/>
          <w:sz w:val="21"/>
          <w:szCs w:val="18"/>
          <w:u w:val="single"/>
        </w:rPr>
        <w:t>Meaning</w:t>
      </w:r>
      <w:r w:rsidRPr="009730E0">
        <w:rPr>
          <w:rFonts w:ascii="Arial" w:hAnsi="Arial" w:cs="Arial"/>
          <w:sz w:val="21"/>
          <w:szCs w:val="18"/>
        </w:rPr>
        <w:t>: Is “exercise authority” the best translation?</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The text of 1 Timothy 2:12 not only prohibits women from teaching men in the worship service, but it also does not allow them to “have authority” (NIV, NLT, RSV) over men in this context.  However, some argue that this prohibition not to “exercise authority” (NASB) has a negative connotation.  In this sense, doesn’t Paul mean that women leaders should not “usurp authority” (KJV) in a domineering manner over men?  </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This Greek verb (</w:t>
      </w:r>
      <w:r w:rsidRPr="009730E0">
        <w:rPr>
          <w:rFonts w:ascii="Bwgrki" w:hAnsi="Bwgrki" w:cs="Arial"/>
          <w:color w:val="000000"/>
          <w:sz w:val="21"/>
          <w:szCs w:val="18"/>
          <w:lang w:eastAsia="zh-CN"/>
        </w:rPr>
        <w:t xml:space="preserve">auvqente,w </w:t>
      </w:r>
      <w:r w:rsidRPr="009730E0">
        <w:rPr>
          <w:rFonts w:ascii="Arial" w:hAnsi="Arial" w:cs="Arial"/>
          <w:i/>
          <w:sz w:val="21"/>
          <w:szCs w:val="18"/>
        </w:rPr>
        <w:t>authenteo</w:t>
      </w:r>
      <w:r w:rsidRPr="009730E0">
        <w:rPr>
          <w:rFonts w:ascii="Arial" w:hAnsi="Arial" w:cs="Arial"/>
          <w:sz w:val="21"/>
          <w:szCs w:val="18"/>
        </w:rPr>
        <w:t xml:space="preserve">) can have either the negative meaning of “to </w:t>
      </w:r>
      <w:r w:rsidRPr="009730E0">
        <w:rPr>
          <w:rFonts w:ascii="Arial" w:eastAsia="Times" w:hAnsi="Arial" w:cs="Arial"/>
          <w:sz w:val="21"/>
          <w:szCs w:val="18"/>
        </w:rPr>
        <w:t>domineer” or the positive idea of “to have authority over</w:t>
      </w:r>
      <w:r w:rsidRPr="009730E0">
        <w:rPr>
          <w:rFonts w:ascii="Arial" w:hAnsi="Arial" w:cs="Arial"/>
          <w:sz w:val="21"/>
          <w:szCs w:val="18"/>
        </w:rPr>
        <w:t>” (UBS dictionary).</w:t>
      </w:r>
      <w:r w:rsidRPr="009730E0">
        <w:rPr>
          <w:rStyle w:val="FootnoteReference"/>
          <w:rFonts w:ascii="Arial" w:hAnsi="Arial" w:cs="Arial"/>
          <w:sz w:val="21"/>
          <w:szCs w:val="18"/>
        </w:rPr>
        <w:footnoteReference w:id="1"/>
      </w:r>
      <w:r w:rsidRPr="009730E0">
        <w:rPr>
          <w:rFonts w:ascii="Arial" w:hAnsi="Arial" w:cs="Arial"/>
          <w:sz w:val="21"/>
          <w:szCs w:val="18"/>
        </w:rPr>
        <w:t xml:space="preserve">  It is used only here in the Bible, making the sense difficult to determine as no NT cross-references can be consulted.  However, the word is used many times in Greek literature from the first century BC to the fifteenth century AD.  Henry Scott Baldwin wrote the most detailed study of </w:t>
      </w:r>
      <w:r w:rsidRPr="009730E0">
        <w:rPr>
          <w:rFonts w:ascii="Arial" w:hAnsi="Arial" w:cs="Arial"/>
          <w:i/>
          <w:sz w:val="21"/>
          <w:szCs w:val="18"/>
        </w:rPr>
        <w:t>authenteo</w:t>
      </w:r>
      <w:r w:rsidRPr="009730E0">
        <w:rPr>
          <w:rFonts w:ascii="Arial" w:hAnsi="Arial" w:cs="Arial"/>
          <w:sz w:val="21"/>
          <w:szCs w:val="18"/>
        </w:rPr>
        <w:t xml:space="preserve">.  He concluded after studying 82 uses outside the NT that it has an unambiguously negative meaning (“tyrannize”) only </w:t>
      </w:r>
      <w:r w:rsidRPr="009730E0">
        <w:rPr>
          <w:rFonts w:ascii="Arial" w:hAnsi="Arial" w:cs="Arial"/>
          <w:i/>
          <w:sz w:val="21"/>
          <w:szCs w:val="18"/>
        </w:rPr>
        <w:t>once</w:t>
      </w:r>
      <w:r w:rsidRPr="009730E0">
        <w:rPr>
          <w:rFonts w:ascii="Arial" w:hAnsi="Arial" w:cs="Arial"/>
          <w:sz w:val="21"/>
          <w:szCs w:val="18"/>
        </w:rPr>
        <w:t>.</w:t>
      </w:r>
      <w:r w:rsidRPr="009730E0">
        <w:rPr>
          <w:rStyle w:val="FootnoteReference"/>
          <w:rFonts w:ascii="Arial" w:hAnsi="Arial" w:cs="Arial"/>
          <w:sz w:val="21"/>
          <w:szCs w:val="18"/>
        </w:rPr>
        <w:footnoteReference w:id="2"/>
      </w:r>
      <w:r w:rsidRPr="009730E0">
        <w:rPr>
          <w:rFonts w:ascii="Arial" w:hAnsi="Arial" w:cs="Arial"/>
          <w:sz w:val="21"/>
          <w:szCs w:val="18"/>
        </w:rPr>
        <w:t xml:space="preserve">  Some claim </w:t>
      </w:r>
      <w:r w:rsidR="001F47D6" w:rsidRPr="009730E0">
        <w:rPr>
          <w:rFonts w:ascii="Arial" w:hAnsi="Arial" w:cs="Arial"/>
          <w:sz w:val="21"/>
          <w:szCs w:val="18"/>
        </w:rPr>
        <w:t xml:space="preserve">that </w:t>
      </w:r>
      <w:r w:rsidRPr="009730E0">
        <w:rPr>
          <w:rFonts w:ascii="Arial" w:hAnsi="Arial" w:cs="Arial"/>
          <w:sz w:val="21"/>
          <w:szCs w:val="18"/>
        </w:rPr>
        <w:t xml:space="preserve">Paul could have used a more common </w:t>
      </w:r>
      <w:r w:rsidRPr="009730E0">
        <w:rPr>
          <w:rFonts w:ascii="Arial" w:hAnsi="Arial" w:cs="Arial"/>
          <w:sz w:val="21"/>
          <w:szCs w:val="18"/>
        </w:rPr>
        <w:lastRenderedPageBreak/>
        <w:t>word for “authority” if he simply meant authority in a neutral or positive sense.</w:t>
      </w:r>
      <w:r w:rsidRPr="009730E0">
        <w:rPr>
          <w:rStyle w:val="FootnoteReference"/>
          <w:rFonts w:ascii="Arial" w:hAnsi="Arial" w:cs="Arial"/>
          <w:sz w:val="21"/>
          <w:szCs w:val="18"/>
        </w:rPr>
        <w:footnoteReference w:id="3"/>
      </w:r>
      <w:r w:rsidRPr="009730E0">
        <w:rPr>
          <w:rFonts w:ascii="Arial" w:hAnsi="Arial" w:cs="Arial"/>
          <w:sz w:val="21"/>
          <w:szCs w:val="18"/>
        </w:rPr>
        <w:t xml:space="preserve">  </w:t>
      </w:r>
      <w:r w:rsidR="004A7A31">
        <w:rPr>
          <w:rFonts w:ascii="Arial" w:hAnsi="Arial" w:cs="Arial"/>
          <w:sz w:val="21"/>
          <w:szCs w:val="18"/>
        </w:rPr>
        <w:t>But</w:t>
      </w:r>
      <w:r w:rsidRPr="009730E0">
        <w:rPr>
          <w:rFonts w:ascii="Arial" w:hAnsi="Arial" w:cs="Arial"/>
          <w:sz w:val="21"/>
          <w:szCs w:val="18"/>
        </w:rPr>
        <w:t xml:space="preserve"> each word for “authority” has a range of meanings.</w:t>
      </w:r>
      <w:r w:rsidRPr="009730E0">
        <w:rPr>
          <w:rStyle w:val="FootnoteReference"/>
          <w:rFonts w:ascii="Arial" w:hAnsi="Arial" w:cs="Arial"/>
          <w:sz w:val="21"/>
          <w:szCs w:val="18"/>
        </w:rPr>
        <w:footnoteReference w:id="4"/>
      </w:r>
      <w:r w:rsidRPr="009730E0">
        <w:rPr>
          <w:rFonts w:ascii="Arial" w:hAnsi="Arial" w:cs="Arial"/>
          <w:sz w:val="21"/>
          <w:szCs w:val="18"/>
        </w:rPr>
        <w:t xml:space="preserve">  For </w:t>
      </w:r>
      <w:r w:rsidRPr="009730E0">
        <w:rPr>
          <w:rFonts w:ascii="Arial" w:hAnsi="Arial" w:cs="Arial"/>
          <w:i/>
          <w:sz w:val="21"/>
          <w:szCs w:val="18"/>
        </w:rPr>
        <w:t>authenteo,</w:t>
      </w:r>
      <w:r w:rsidRPr="009730E0">
        <w:rPr>
          <w:rFonts w:ascii="Arial" w:hAnsi="Arial" w:cs="Arial"/>
          <w:sz w:val="21"/>
          <w:szCs w:val="18"/>
        </w:rPr>
        <w:t xml:space="preserve"> “the root meaning involves the concept of authority,”</w:t>
      </w:r>
      <w:r w:rsidRPr="009730E0">
        <w:rPr>
          <w:rStyle w:val="FootnoteReference"/>
          <w:rFonts w:ascii="Arial" w:hAnsi="Arial" w:cs="Arial"/>
          <w:sz w:val="21"/>
          <w:szCs w:val="18"/>
        </w:rPr>
        <w:footnoteReference w:id="5"/>
      </w:r>
      <w:r w:rsidRPr="009730E0">
        <w:rPr>
          <w:rFonts w:ascii="Arial" w:hAnsi="Arial" w:cs="Arial"/>
          <w:sz w:val="21"/>
          <w:szCs w:val="18"/>
        </w:rPr>
        <w:t xml:space="preserve"> without referring to how that authority is used.</w:t>
      </w:r>
      <w:r w:rsidRPr="009730E0">
        <w:rPr>
          <w:rStyle w:val="FootnoteReference"/>
          <w:rFonts w:ascii="Arial" w:hAnsi="Arial" w:cs="Arial"/>
          <w:sz w:val="21"/>
          <w:szCs w:val="18"/>
        </w:rPr>
        <w:footnoteReference w:id="6"/>
      </w:r>
      <w:r w:rsidRPr="009730E0">
        <w:rPr>
          <w:rFonts w:ascii="Arial" w:hAnsi="Arial" w:cs="Arial"/>
          <w:sz w:val="21"/>
          <w:szCs w:val="18"/>
        </w:rPr>
        <w:t xml:space="preserve">  Therefore, the idea of it being negative is unfounded.</w:t>
      </w:r>
    </w:p>
    <w:p w:rsidR="00AD17EF" w:rsidRPr="009730E0" w:rsidRDefault="004A7A31" w:rsidP="00877020">
      <w:pPr>
        <w:pStyle w:val="Heading2"/>
        <w:jc w:val="left"/>
        <w:rPr>
          <w:rFonts w:ascii="Arial" w:hAnsi="Arial" w:cs="Arial"/>
          <w:sz w:val="21"/>
          <w:szCs w:val="18"/>
        </w:rPr>
      </w:pPr>
      <w:r>
        <w:rPr>
          <w:rFonts w:ascii="Arial" w:hAnsi="Arial" w:cs="Arial"/>
          <w:sz w:val="21"/>
          <w:szCs w:val="18"/>
        </w:rPr>
        <w:t>Ye</w:t>
      </w:r>
      <w:r w:rsidR="001B78DA" w:rsidRPr="009730E0">
        <w:rPr>
          <w:rFonts w:ascii="Arial" w:hAnsi="Arial" w:cs="Arial"/>
          <w:sz w:val="21"/>
          <w:szCs w:val="18"/>
        </w:rPr>
        <w:t>t 1</w:t>
      </w:r>
      <w:r w:rsidR="00AD17EF" w:rsidRPr="009730E0">
        <w:rPr>
          <w:rFonts w:ascii="Arial" w:hAnsi="Arial" w:cs="Arial"/>
          <w:sz w:val="21"/>
          <w:szCs w:val="18"/>
        </w:rPr>
        <w:t xml:space="preserve"> Timothy 2:12 has two infinitives, not just one: “I do not permit a woman </w:t>
      </w:r>
      <w:r w:rsidR="00AD17EF" w:rsidRPr="009730E0">
        <w:rPr>
          <w:rFonts w:ascii="Arial" w:hAnsi="Arial" w:cs="Arial"/>
          <w:i/>
          <w:sz w:val="21"/>
          <w:szCs w:val="18"/>
        </w:rPr>
        <w:t>to teach</w:t>
      </w:r>
      <w:r w:rsidR="00AD17EF" w:rsidRPr="009730E0">
        <w:rPr>
          <w:rFonts w:ascii="Arial" w:hAnsi="Arial" w:cs="Arial"/>
          <w:sz w:val="21"/>
          <w:szCs w:val="18"/>
        </w:rPr>
        <w:t xml:space="preserve"> or </w:t>
      </w:r>
      <w:r w:rsidR="00AD17EF" w:rsidRPr="009730E0">
        <w:rPr>
          <w:rFonts w:ascii="Arial" w:hAnsi="Arial" w:cs="Arial"/>
          <w:i/>
          <w:sz w:val="21"/>
          <w:szCs w:val="18"/>
        </w:rPr>
        <w:t>to have authority</w:t>
      </w:r>
      <w:r w:rsidR="00AD17EF" w:rsidRPr="009730E0">
        <w:rPr>
          <w:rFonts w:ascii="Arial" w:hAnsi="Arial" w:cs="Arial"/>
          <w:sz w:val="21"/>
          <w:szCs w:val="18"/>
        </w:rPr>
        <w:t xml:space="preserve"> over a man.” Some say that “these two infinitives joined by the word ‘neither’ (</w:t>
      </w:r>
      <w:proofErr w:type="spellStart"/>
      <w:r w:rsidR="00AD17EF" w:rsidRPr="004A7A31">
        <w:rPr>
          <w:rFonts w:ascii="Bwgrki" w:hAnsi="Bwgrki" w:cs="Arial"/>
          <w:sz w:val="21"/>
          <w:szCs w:val="18"/>
        </w:rPr>
        <w:t>ouvde</w:t>
      </w:r>
      <w:proofErr w:type="spellEnd"/>
      <w:r w:rsidR="00AD17EF" w:rsidRPr="004A7A31">
        <w:rPr>
          <w:rFonts w:ascii="Bwgrki" w:hAnsi="Bwgrki" w:cs="Arial"/>
          <w:sz w:val="21"/>
          <w:szCs w:val="18"/>
        </w:rPr>
        <w:t>,</w:t>
      </w:r>
      <w:r w:rsidR="00AD17EF" w:rsidRPr="009730E0">
        <w:rPr>
          <w:rFonts w:ascii="Arial" w:hAnsi="Arial" w:cs="Arial"/>
          <w:sz w:val="21"/>
          <w:szCs w:val="18"/>
        </w:rPr>
        <w:t>) communicate a single coherent idea</w:t>
      </w:r>
      <w:r w:rsidR="00AD17EF" w:rsidRPr="009730E0">
        <w:rPr>
          <w:rFonts w:ascii="Arial" w:hAnsi="Arial" w:cs="Arial"/>
          <w:i/>
          <w:sz w:val="21"/>
          <w:szCs w:val="18"/>
        </w:rPr>
        <w:t>”</w:t>
      </w:r>
      <w:r w:rsidR="00AD17EF" w:rsidRPr="009730E0">
        <w:rPr>
          <w:rStyle w:val="FootnoteReference"/>
          <w:rFonts w:ascii="Arial" w:hAnsi="Arial" w:cs="Arial"/>
          <w:sz w:val="21"/>
          <w:szCs w:val="18"/>
        </w:rPr>
        <w:footnoteReference w:id="7"/>
      </w:r>
      <w:r w:rsidR="00AD17EF" w:rsidRPr="009730E0">
        <w:rPr>
          <w:rFonts w:ascii="Arial" w:hAnsi="Arial" w:cs="Arial"/>
          <w:i/>
          <w:sz w:val="21"/>
          <w:szCs w:val="18"/>
        </w:rPr>
        <w:t xml:space="preserve"> </w:t>
      </w:r>
      <w:r w:rsidR="00AD17EF" w:rsidRPr="009730E0">
        <w:rPr>
          <w:rFonts w:ascii="Arial" w:hAnsi="Arial" w:cs="Arial"/>
          <w:sz w:val="21"/>
          <w:szCs w:val="18"/>
        </w:rPr>
        <w:t xml:space="preserve">so that only </w:t>
      </w:r>
      <w:r w:rsidR="00AD17EF" w:rsidRPr="009730E0">
        <w:rPr>
          <w:rFonts w:ascii="Arial" w:hAnsi="Arial" w:cs="Arial"/>
          <w:i/>
          <w:sz w:val="21"/>
          <w:szCs w:val="18"/>
        </w:rPr>
        <w:t>one limit</w:t>
      </w:r>
      <w:r w:rsidR="00AD17EF" w:rsidRPr="009730E0">
        <w:rPr>
          <w:rFonts w:ascii="Arial" w:hAnsi="Arial" w:cs="Arial"/>
          <w:sz w:val="21"/>
          <w:szCs w:val="18"/>
        </w:rPr>
        <w:t xml:space="preserve"> is imposed—</w:t>
      </w:r>
      <w:r w:rsidR="00AD17EF" w:rsidRPr="009730E0">
        <w:rPr>
          <w:rFonts w:ascii="Arial" w:hAnsi="Arial" w:cs="Arial"/>
          <w:i/>
          <w:sz w:val="21"/>
          <w:szCs w:val="18"/>
        </w:rPr>
        <w:t>authoritative teaching</w:t>
      </w:r>
      <w:r w:rsidR="00AD17EF" w:rsidRPr="009730E0">
        <w:rPr>
          <w:rFonts w:ascii="Arial" w:hAnsi="Arial" w:cs="Arial"/>
          <w:sz w:val="21"/>
          <w:szCs w:val="18"/>
        </w:rPr>
        <w:t xml:space="preserve"> in a worship service.  It is true that teaching and authority are linked closely so t</w:t>
      </w:r>
      <w:r w:rsidR="00087347" w:rsidRPr="009730E0">
        <w:rPr>
          <w:rFonts w:ascii="Arial" w:hAnsi="Arial" w:cs="Arial"/>
          <w:sz w:val="21"/>
          <w:szCs w:val="18"/>
        </w:rPr>
        <w:t>hat the sense of one of them</w:t>
      </w:r>
      <w:r w:rsidR="00AD17EF" w:rsidRPr="009730E0">
        <w:rPr>
          <w:rFonts w:ascii="Arial" w:hAnsi="Arial" w:cs="Arial"/>
          <w:sz w:val="21"/>
          <w:szCs w:val="18"/>
        </w:rPr>
        <w:t xml:space="preserve"> also applies to the other.  Either “both items proscribed are viewed negatively or positively.  Thus, the verse either means ‘I do not permit a woman to teach falsely or domineer over a man’ or ‘I do not permit a woman to teach or exercise authority over a man.’  The latter option is demanded, for there is no evidence here that the infinitive </w:t>
      </w:r>
      <w:proofErr w:type="spellStart"/>
      <w:r w:rsidR="00AD17EF" w:rsidRPr="004A7A31">
        <w:rPr>
          <w:rFonts w:ascii="Bwgrki" w:hAnsi="Bwgrki" w:cs="Arial"/>
          <w:sz w:val="21"/>
          <w:szCs w:val="18"/>
        </w:rPr>
        <w:t>dida,skein</w:t>
      </w:r>
      <w:proofErr w:type="spellEnd"/>
      <w:r w:rsidR="00AD17EF" w:rsidRPr="009730E0">
        <w:rPr>
          <w:rFonts w:ascii="Arial" w:hAnsi="Arial" w:cs="Arial"/>
          <w:sz w:val="21"/>
          <w:szCs w:val="18"/>
        </w:rPr>
        <w:t xml:space="preserve"> [“to teach”] should be rendered ‘to teach falsely.’”</w:t>
      </w:r>
      <w:r w:rsidR="00AD17EF" w:rsidRPr="009730E0">
        <w:rPr>
          <w:rStyle w:val="FootnoteReference"/>
          <w:rFonts w:ascii="Arial" w:hAnsi="Arial" w:cs="Arial"/>
          <w:sz w:val="21"/>
          <w:szCs w:val="18"/>
        </w:rPr>
        <w:t xml:space="preserve"> </w:t>
      </w:r>
      <w:r w:rsidR="00AD17EF" w:rsidRPr="009730E0">
        <w:rPr>
          <w:rStyle w:val="FootnoteReference"/>
          <w:rFonts w:ascii="Arial" w:hAnsi="Arial" w:cs="Arial"/>
          <w:sz w:val="21"/>
          <w:szCs w:val="18"/>
        </w:rPr>
        <w:footnoteReference w:id="8"/>
      </w:r>
      <w:r w:rsidR="00AD17EF" w:rsidRPr="009730E0">
        <w:rPr>
          <w:rFonts w:ascii="Arial" w:hAnsi="Arial" w:cs="Arial"/>
          <w:sz w:val="21"/>
          <w:szCs w:val="18"/>
        </w:rPr>
        <w:t xml:space="preserve">  In other words, since “teaching” is positive, “authority” must also carry a positive sense.  However, teaching and authority are distinct concepts so the idea of only </w:t>
      </w:r>
      <w:r w:rsidR="00AD17EF" w:rsidRPr="009730E0">
        <w:rPr>
          <w:rFonts w:ascii="Arial" w:hAnsi="Arial" w:cs="Arial"/>
          <w:i/>
          <w:sz w:val="21"/>
          <w:szCs w:val="18"/>
        </w:rPr>
        <w:t>one</w:t>
      </w:r>
      <w:r w:rsidR="00AD17EF" w:rsidRPr="009730E0">
        <w:rPr>
          <w:rFonts w:ascii="Arial" w:hAnsi="Arial" w:cs="Arial"/>
          <w:sz w:val="21"/>
          <w:szCs w:val="18"/>
        </w:rPr>
        <w:t xml:space="preserve"> prohibition here (“</w:t>
      </w:r>
      <w:r w:rsidR="00AD17EF" w:rsidRPr="009730E0">
        <w:rPr>
          <w:rFonts w:ascii="Arial" w:hAnsi="Arial" w:cs="Arial"/>
          <w:i/>
          <w:sz w:val="21"/>
          <w:szCs w:val="18"/>
        </w:rPr>
        <w:t>authoritative teaching”</w:t>
      </w:r>
      <w:r w:rsidR="00AD17EF" w:rsidRPr="009730E0">
        <w:rPr>
          <w:rFonts w:ascii="Arial" w:hAnsi="Arial" w:cs="Arial"/>
          <w:sz w:val="21"/>
          <w:szCs w:val="18"/>
        </w:rPr>
        <w:t>) cannot stand up exegetically.</w:t>
      </w:r>
    </w:p>
    <w:p w:rsidR="00AD17EF" w:rsidRPr="009730E0" w:rsidRDefault="00AD17EF" w:rsidP="00877020">
      <w:pPr>
        <w:pStyle w:val="Heading1"/>
        <w:ind w:right="-10"/>
        <w:jc w:val="left"/>
        <w:rPr>
          <w:rFonts w:ascii="Arial" w:hAnsi="Arial" w:cs="Arial"/>
          <w:sz w:val="21"/>
          <w:szCs w:val="18"/>
        </w:rPr>
      </w:pPr>
      <w:r w:rsidRPr="009730E0">
        <w:rPr>
          <w:rFonts w:ascii="Arial" w:hAnsi="Arial" w:cs="Arial"/>
          <w:sz w:val="21"/>
          <w:szCs w:val="18"/>
          <w:u w:val="single"/>
        </w:rPr>
        <w:t>Culture</w:t>
      </w:r>
      <w:r w:rsidRPr="009730E0">
        <w:rPr>
          <w:rFonts w:ascii="Arial" w:hAnsi="Arial" w:cs="Arial"/>
          <w:sz w:val="21"/>
          <w:szCs w:val="18"/>
        </w:rPr>
        <w:t>: Does the prohibition from teaching and leading men apply today?</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Interestingly, these limits were never challenged in the church during the first nineteen centuries.  However, since the rise of feminism (and evangelical feminism in particular), some modern interpreters say that Paul’s commands are culturally conditioned—applicable only in the first century.  This assumes that women of his day could </w:t>
      </w:r>
      <w:r w:rsidRPr="009730E0">
        <w:rPr>
          <w:rFonts w:ascii="Arial" w:hAnsi="Arial" w:cs="Arial"/>
          <w:i/>
          <w:sz w:val="21"/>
          <w:szCs w:val="18"/>
        </w:rPr>
        <w:t>not</w:t>
      </w:r>
      <w:r w:rsidRPr="009730E0">
        <w:rPr>
          <w:rFonts w:ascii="Arial" w:hAnsi="Arial" w:cs="Arial"/>
          <w:sz w:val="21"/>
          <w:szCs w:val="18"/>
        </w:rPr>
        <w:t xml:space="preserve"> teach men publicly—either in the Jewish synagogue or in the Gentile city of Ephesus</w:t>
      </w:r>
      <w:r w:rsidR="00B9585D">
        <w:rPr>
          <w:rFonts w:ascii="Arial" w:hAnsi="Arial" w:cs="Arial"/>
          <w:sz w:val="21"/>
          <w:szCs w:val="18"/>
        </w:rPr>
        <w:t xml:space="preserve"> where Paul sent his 1 Timothy letter</w:t>
      </w:r>
      <w:r w:rsidRPr="009730E0">
        <w:rPr>
          <w:rFonts w:ascii="Arial" w:hAnsi="Arial" w:cs="Arial"/>
          <w:sz w:val="21"/>
          <w:szCs w:val="18"/>
        </w:rPr>
        <w:t>.</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So how did women function in public worship in the first century?  The assumption above is correct.  Paul was consistent with the generally restrictive limits of his time.  In fact, in the synagogues not only did </w:t>
      </w:r>
      <w:r w:rsidR="00C61BBB" w:rsidRPr="009730E0">
        <w:rPr>
          <w:rFonts w:ascii="Arial" w:hAnsi="Arial" w:cs="Arial"/>
          <w:sz w:val="21"/>
          <w:szCs w:val="18"/>
        </w:rPr>
        <w:t>women</w:t>
      </w:r>
      <w:r w:rsidRPr="009730E0">
        <w:rPr>
          <w:rFonts w:ascii="Arial" w:hAnsi="Arial" w:cs="Arial"/>
          <w:sz w:val="21"/>
          <w:szCs w:val="18"/>
        </w:rPr>
        <w:t xml:space="preserve"> </w:t>
      </w:r>
      <w:r w:rsidRPr="009730E0">
        <w:rPr>
          <w:rFonts w:ascii="Arial" w:hAnsi="Arial" w:cs="Arial"/>
          <w:i/>
          <w:sz w:val="21"/>
          <w:szCs w:val="18"/>
        </w:rPr>
        <w:t>not</w:t>
      </w:r>
      <w:r w:rsidRPr="009730E0">
        <w:rPr>
          <w:rFonts w:ascii="Arial" w:hAnsi="Arial" w:cs="Arial"/>
          <w:sz w:val="21"/>
          <w:szCs w:val="18"/>
        </w:rPr>
        <w:t xml:space="preserve"> teach, but they also worshipped in a different section. </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But what about Ephesus where Timothy ministered?  Other evangelical feminists advocate that Paul was going </w:t>
      </w:r>
      <w:r w:rsidRPr="009730E0">
        <w:rPr>
          <w:rFonts w:ascii="Arial" w:hAnsi="Arial" w:cs="Arial"/>
          <w:i/>
          <w:sz w:val="21"/>
          <w:szCs w:val="18"/>
        </w:rPr>
        <w:t>against</w:t>
      </w:r>
      <w:r w:rsidRPr="009730E0">
        <w:rPr>
          <w:rFonts w:ascii="Arial" w:hAnsi="Arial" w:cs="Arial"/>
          <w:sz w:val="21"/>
          <w:szCs w:val="18"/>
        </w:rPr>
        <w:t xml:space="preserve"> a prevailing liberalism in women’s roles.  They seek to portray a “feminist Ephesus” so that this text “is not directed against women participating in leadership but rather against a </w:t>
      </w:r>
      <w:r w:rsidRPr="009730E0">
        <w:rPr>
          <w:rFonts w:ascii="Arial" w:hAnsi="Arial" w:cs="Arial"/>
          <w:i/>
          <w:sz w:val="21"/>
          <w:szCs w:val="18"/>
        </w:rPr>
        <w:t>monopoly</w:t>
      </w:r>
      <w:r w:rsidRPr="009730E0">
        <w:rPr>
          <w:rFonts w:ascii="Arial" w:hAnsi="Arial" w:cs="Arial"/>
          <w:sz w:val="21"/>
          <w:szCs w:val="18"/>
        </w:rPr>
        <w:t xml:space="preserve"> on religious power by women.”</w:t>
      </w:r>
      <w:r w:rsidRPr="009730E0">
        <w:rPr>
          <w:rStyle w:val="FootnoteReference"/>
          <w:rFonts w:ascii="Arial" w:hAnsi="Arial" w:cs="Arial"/>
          <w:sz w:val="21"/>
          <w:szCs w:val="18"/>
        </w:rPr>
        <w:footnoteReference w:id="9"/>
      </w:r>
      <w:r w:rsidRPr="009730E0">
        <w:rPr>
          <w:rFonts w:ascii="Arial" w:hAnsi="Arial" w:cs="Arial"/>
          <w:sz w:val="21"/>
          <w:szCs w:val="18"/>
        </w:rPr>
        <w:t xml:space="preserve">  However, even in Roman-Greco political groups and in the Artemis cult in Ephesus, it was still the </w:t>
      </w:r>
      <w:r w:rsidRPr="009730E0">
        <w:rPr>
          <w:rFonts w:ascii="Arial" w:hAnsi="Arial" w:cs="Arial"/>
          <w:i/>
          <w:sz w:val="21"/>
          <w:szCs w:val="18"/>
        </w:rPr>
        <w:t>men</w:t>
      </w:r>
      <w:r w:rsidRPr="009730E0">
        <w:rPr>
          <w:rFonts w:ascii="Arial" w:hAnsi="Arial" w:cs="Arial"/>
          <w:sz w:val="21"/>
          <w:szCs w:val="18"/>
        </w:rPr>
        <w:t xml:space="preserve"> who occupied </w:t>
      </w:r>
      <w:r w:rsidRPr="009730E0">
        <w:rPr>
          <w:rFonts w:ascii="Arial" w:hAnsi="Arial" w:cs="Arial"/>
          <w:sz w:val="21"/>
          <w:szCs w:val="18"/>
        </w:rPr>
        <w:lastRenderedPageBreak/>
        <w:t>the highest positions—both in politics</w:t>
      </w:r>
      <w:r w:rsidRPr="009730E0">
        <w:rPr>
          <w:rStyle w:val="FootnoteReference"/>
          <w:rFonts w:ascii="Arial" w:hAnsi="Arial" w:cs="Arial"/>
          <w:sz w:val="21"/>
          <w:szCs w:val="18"/>
        </w:rPr>
        <w:footnoteReference w:id="10"/>
      </w:r>
      <w:r w:rsidRPr="009730E0">
        <w:rPr>
          <w:rFonts w:ascii="Arial" w:hAnsi="Arial" w:cs="Arial"/>
          <w:sz w:val="21"/>
          <w:szCs w:val="18"/>
        </w:rPr>
        <w:t xml:space="preserve"> and in religion.  In fact, the priests who served the majority of pagan deities in Ephesus were </w:t>
      </w:r>
      <w:r w:rsidR="001F47D6" w:rsidRPr="009730E0">
        <w:rPr>
          <w:rFonts w:ascii="Arial" w:hAnsi="Arial" w:cs="Arial"/>
          <w:sz w:val="21"/>
          <w:szCs w:val="18"/>
        </w:rPr>
        <w:t>men</w:t>
      </w:r>
      <w:r w:rsidRPr="009730E0">
        <w:rPr>
          <w:rFonts w:ascii="Arial" w:hAnsi="Arial" w:cs="Arial"/>
          <w:sz w:val="21"/>
          <w:szCs w:val="18"/>
        </w:rPr>
        <w:t>!</w:t>
      </w:r>
      <w:r w:rsidRPr="009730E0">
        <w:rPr>
          <w:rStyle w:val="FootnoteReference"/>
          <w:rFonts w:ascii="Arial" w:hAnsi="Arial" w:cs="Arial"/>
          <w:sz w:val="21"/>
          <w:szCs w:val="18"/>
        </w:rPr>
        <w:footnoteReference w:id="11"/>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However, though Paul’s teaching of predominant leadership for men (not women) was consistent with both pagan and Jewish practice, he did not support his stance by appealing to culture.  In verses 13-15 he appealed to the trans-cultural creation order.  Since Adam was created first (2:13), male headship applies to all cultures and all times.  Male leadership is also based on Eve’s sin of being deceived so that sin entered the human race (2:14).  For this reason, God’s plan is for women to lead their children rather than lead in the church services (2:15).</w:t>
      </w:r>
      <w:r w:rsidRPr="009730E0">
        <w:rPr>
          <w:rStyle w:val="FootnoteReference"/>
          <w:rFonts w:ascii="Arial" w:hAnsi="Arial" w:cs="Arial"/>
          <w:sz w:val="21"/>
          <w:szCs w:val="18"/>
        </w:rPr>
        <w:footnoteReference w:id="12"/>
      </w:r>
      <w:r w:rsidRPr="009730E0">
        <w:rPr>
          <w:rFonts w:ascii="Arial" w:hAnsi="Arial" w:cs="Arial"/>
          <w:sz w:val="21"/>
          <w:szCs w:val="18"/>
        </w:rPr>
        <w:t xml:space="preserve">  While many say </w:t>
      </w:r>
      <w:r w:rsidR="00C27EEE" w:rsidRPr="009730E0">
        <w:rPr>
          <w:rFonts w:ascii="Arial" w:hAnsi="Arial" w:cs="Arial"/>
          <w:sz w:val="21"/>
          <w:szCs w:val="18"/>
        </w:rPr>
        <w:t>that</w:t>
      </w:r>
      <w:r w:rsidRPr="009730E0">
        <w:rPr>
          <w:rFonts w:ascii="Arial" w:hAnsi="Arial" w:cs="Arial"/>
          <w:sz w:val="21"/>
          <w:szCs w:val="18"/>
        </w:rPr>
        <w:t xml:space="preserve"> a woman </w:t>
      </w:r>
      <w:r w:rsidR="00C27EEE" w:rsidRPr="009730E0">
        <w:rPr>
          <w:rFonts w:ascii="Arial" w:hAnsi="Arial" w:cs="Arial"/>
          <w:sz w:val="21"/>
          <w:szCs w:val="18"/>
        </w:rPr>
        <w:t>training</w:t>
      </w:r>
      <w:r w:rsidRPr="009730E0">
        <w:rPr>
          <w:rFonts w:ascii="Arial" w:hAnsi="Arial" w:cs="Arial"/>
          <w:sz w:val="21"/>
          <w:szCs w:val="18"/>
        </w:rPr>
        <w:t xml:space="preserve"> her children at home does not fully utilize her gifts, this is certainly not the view of Scripture.  God has a very high view of the impact of parents in their children’s lives.</w:t>
      </w:r>
    </w:p>
    <w:p w:rsidR="00AD17EF" w:rsidRPr="009730E0" w:rsidRDefault="00AD17EF" w:rsidP="00877020">
      <w:pPr>
        <w:pStyle w:val="Heading1"/>
        <w:ind w:right="-10"/>
        <w:jc w:val="left"/>
        <w:rPr>
          <w:rFonts w:ascii="Arial" w:hAnsi="Arial" w:cs="Arial"/>
          <w:sz w:val="21"/>
          <w:szCs w:val="18"/>
        </w:rPr>
      </w:pPr>
      <w:r w:rsidRPr="009730E0">
        <w:rPr>
          <w:rFonts w:ascii="Arial" w:hAnsi="Arial" w:cs="Arial"/>
          <w:sz w:val="21"/>
          <w:szCs w:val="18"/>
          <w:u w:val="single"/>
        </w:rPr>
        <w:t>Application</w:t>
      </w:r>
      <w:r w:rsidRPr="009730E0">
        <w:rPr>
          <w:rFonts w:ascii="Arial" w:hAnsi="Arial" w:cs="Arial"/>
          <w:sz w:val="21"/>
          <w:szCs w:val="18"/>
        </w:rPr>
        <w:t xml:space="preserve">: Which church ministries </w:t>
      </w:r>
      <w:r w:rsidRPr="009730E0">
        <w:rPr>
          <w:rFonts w:ascii="Arial" w:hAnsi="Arial" w:cs="Arial"/>
          <w:i/>
          <w:sz w:val="21"/>
          <w:szCs w:val="18"/>
        </w:rPr>
        <w:t>convey authority</w:t>
      </w:r>
      <w:r w:rsidRPr="009730E0">
        <w:rPr>
          <w:rFonts w:ascii="Arial" w:hAnsi="Arial" w:cs="Arial"/>
          <w:sz w:val="21"/>
          <w:szCs w:val="18"/>
        </w:rPr>
        <w:t xml:space="preserve"> and thus are limited to men?</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Churches today often decide women’s roles based on pragmatism rather than God’s Word.  Some say that since some women are gifted as teachers, they can teach men in the church service.  This pragmatism does not address the limits of 1 Timothy 2:12. Such decision-making based on experience rather than the Bible assumes women must exercise their gifts in a mixed (both sexes) worship service.  However, many other avenues of ministry outside the worship service exist: women’s and children’s ministries, parachurch groups, etc.  Countries like China rely extensively on the teaching of “Bible women.”  God will require an accounting of the church in each culture as to the degree to which the Bible affected culture (or vice versa).  Some churches reason that they lack godly men, but we must decide what our authority will be.</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Our church holds the Bible as final authority, even where it makes unpopular demands.  Article 4.6 of our Constitution states, “The Bible is the inspired Word of God written without error</w:t>
      </w:r>
      <w:r w:rsidRPr="009730E0" w:rsidDel="00F2717E">
        <w:rPr>
          <w:rFonts w:ascii="Arial" w:hAnsi="Arial" w:cs="Arial"/>
          <w:sz w:val="21"/>
          <w:szCs w:val="18"/>
        </w:rPr>
        <w:t>,</w:t>
      </w:r>
      <w:r w:rsidRPr="009730E0">
        <w:rPr>
          <w:rFonts w:ascii="Arial" w:hAnsi="Arial" w:cs="Arial"/>
          <w:sz w:val="21"/>
          <w:szCs w:val="18"/>
        </w:rPr>
        <w:t xml:space="preserve"> our only sure source of knowledge about God and His plans, and our absolute guide for doctrinal teaching and godly living (2 Timothy 3:16-17; 2 Peter 1:20-21).”  Since Scripture disallows women from teaching or having authority over men in the church assembly, the leaders have concluded that we will follow God’s limits. </w:t>
      </w:r>
      <w:r w:rsidR="00B9585D">
        <w:rPr>
          <w:rFonts w:ascii="Arial" w:hAnsi="Arial" w:cs="Arial"/>
          <w:sz w:val="21"/>
          <w:szCs w:val="18"/>
        </w:rPr>
        <w:t>Therefore,</w:t>
      </w:r>
      <w:r w:rsidRPr="009730E0">
        <w:rPr>
          <w:rFonts w:ascii="Arial" w:hAnsi="Arial" w:cs="Arial"/>
          <w:sz w:val="21"/>
          <w:szCs w:val="18"/>
        </w:rPr>
        <w:t xml:space="preserve"> women do not teach by preaching to men in our church services.</w:t>
      </w:r>
    </w:p>
    <w:p w:rsidR="00AD17EF" w:rsidRPr="009730E0" w:rsidRDefault="00AD17EF" w:rsidP="00877020">
      <w:pPr>
        <w:pStyle w:val="Heading2"/>
        <w:jc w:val="left"/>
        <w:rPr>
          <w:rFonts w:ascii="Arial" w:hAnsi="Arial" w:cs="Arial"/>
          <w:sz w:val="21"/>
          <w:szCs w:val="18"/>
        </w:rPr>
      </w:pPr>
      <w:r w:rsidRPr="009730E0">
        <w:rPr>
          <w:rFonts w:ascii="Arial" w:hAnsi="Arial" w:cs="Arial"/>
          <w:sz w:val="21"/>
          <w:szCs w:val="18"/>
        </w:rPr>
        <w:t xml:space="preserve">How else does Paul limit women from exercising authority in a worship service?  Surely singing a solo or </w:t>
      </w:r>
      <w:r w:rsidR="00B9585D">
        <w:rPr>
          <w:rFonts w:ascii="Arial" w:hAnsi="Arial" w:cs="Arial"/>
          <w:sz w:val="21"/>
          <w:szCs w:val="18"/>
        </w:rPr>
        <w:t xml:space="preserve">singing </w:t>
      </w:r>
      <w:r w:rsidRPr="009730E0">
        <w:rPr>
          <w:rFonts w:ascii="Arial" w:hAnsi="Arial" w:cs="Arial"/>
          <w:sz w:val="21"/>
          <w:szCs w:val="18"/>
        </w:rPr>
        <w:t>on the worship team does not have authority, but being the worship leader may convey such authority.  In the OT, both men (1 Chron. 9:33) and women (Neh. 7:67) served as temple singers and instrumentalists, but men always led the worship (e.g., 1 Chron. 16:4-6).  However, in NT churches (unlike in the synagogue/temple), men and women sat together.  We assume that NT saints followed the OT pattern of male worship leading based on the creation order and the injunction for men alone to pray publicly (</w:t>
      </w:r>
      <w:r w:rsidR="00C27EEE" w:rsidRPr="009730E0">
        <w:rPr>
          <w:rFonts w:ascii="Arial" w:hAnsi="Arial" w:cs="Arial"/>
          <w:sz w:val="21"/>
          <w:szCs w:val="18"/>
        </w:rPr>
        <w:t xml:space="preserve">1 Tim. </w:t>
      </w:r>
      <w:r w:rsidRPr="009730E0">
        <w:rPr>
          <w:rFonts w:ascii="Arial" w:hAnsi="Arial" w:cs="Arial"/>
          <w:sz w:val="21"/>
          <w:szCs w:val="18"/>
        </w:rPr>
        <w:t>2:8).</w:t>
      </w:r>
      <w:r w:rsidR="00B9585D">
        <w:rPr>
          <w:rFonts w:ascii="Arial" w:hAnsi="Arial" w:cs="Arial"/>
          <w:sz w:val="21"/>
          <w:szCs w:val="18"/>
        </w:rPr>
        <w:t xml:space="preserve"> But this is an assumption so we show latitude here and at times have had female worship leaders.</w:t>
      </w:r>
    </w:p>
    <w:p w:rsidR="00AD17EF" w:rsidRPr="009730E0" w:rsidRDefault="00AD17EF" w:rsidP="00877020">
      <w:pPr>
        <w:pStyle w:val="Heading1"/>
        <w:ind w:right="-10"/>
        <w:jc w:val="left"/>
        <w:rPr>
          <w:rFonts w:ascii="Arial" w:hAnsi="Arial" w:cs="Arial"/>
          <w:sz w:val="21"/>
          <w:szCs w:val="18"/>
        </w:rPr>
      </w:pPr>
      <w:r w:rsidRPr="009730E0">
        <w:rPr>
          <w:rFonts w:ascii="Arial" w:hAnsi="Arial" w:cs="Arial"/>
          <w:sz w:val="21"/>
          <w:szCs w:val="18"/>
        </w:rPr>
        <w:br w:type="page"/>
      </w:r>
      <w:r w:rsidRPr="009730E0">
        <w:rPr>
          <w:rFonts w:ascii="Arial" w:hAnsi="Arial" w:cs="Arial"/>
          <w:sz w:val="21"/>
          <w:szCs w:val="18"/>
        </w:rPr>
        <w:lastRenderedPageBreak/>
        <w:t>Do You Agree or Disagree?</w:t>
      </w:r>
    </w:p>
    <w:p w:rsidR="00AD17EF" w:rsidRPr="009730E0" w:rsidRDefault="00AD17EF" w:rsidP="00877020">
      <w:pPr>
        <w:ind w:left="450"/>
        <w:rPr>
          <w:rFonts w:ascii="Arial" w:hAnsi="Arial" w:cs="Arial"/>
          <w:sz w:val="21"/>
          <w:szCs w:val="18"/>
        </w:rPr>
      </w:pPr>
      <w:r w:rsidRPr="009730E0">
        <w:rPr>
          <w:rFonts w:ascii="Arial" w:hAnsi="Arial" w:cs="Arial"/>
          <w:sz w:val="21"/>
          <w:szCs w:val="18"/>
        </w:rPr>
        <w:t>To explore your own ideas on this vital subject, please mark as A, U, or D beside each statement below to show whether you Agree, are Unsure, or Disagree with the teaching.</w:t>
      </w:r>
    </w:p>
    <w:p w:rsidR="00507D1A" w:rsidRPr="009730E0" w:rsidRDefault="00507D1A" w:rsidP="00877020">
      <w:pPr>
        <w:ind w:left="450"/>
        <w:rPr>
          <w:rFonts w:ascii="Arial" w:hAnsi="Arial" w:cs="Arial"/>
          <w:sz w:val="11"/>
          <w:szCs w:val="18"/>
        </w:rPr>
      </w:pP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Pr="009730E0">
        <w:rPr>
          <w:rFonts w:ascii="Arial" w:hAnsi="Arial" w:cs="Arial"/>
          <w:sz w:val="21"/>
          <w:szCs w:val="18"/>
        </w:rPr>
        <w:t>not serve as a pastor-teacher with authority over an entire church.</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serve as an elder (or other role on the highest ruling council) of a church.</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be the main worship leader in the church worship service.</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be an adult Christian Education director with authority over male teachers.</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be a children’s Sunday school director with authority over male teachers.</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 xml:space="preserve">teach a mixed adult Sunday </w:t>
      </w:r>
      <w:r w:rsidR="00575726" w:rsidRPr="009730E0">
        <w:rPr>
          <w:rFonts w:ascii="Arial" w:hAnsi="Arial" w:cs="Arial"/>
          <w:sz w:val="21"/>
          <w:szCs w:val="18"/>
        </w:rPr>
        <w:t>school</w:t>
      </w:r>
      <w:r w:rsidRPr="009730E0">
        <w:rPr>
          <w:rFonts w:ascii="Arial" w:hAnsi="Arial" w:cs="Arial"/>
          <w:sz w:val="21"/>
          <w:szCs w:val="18"/>
        </w:rPr>
        <w:t xml:space="preserve"> class at the church building.</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teach a mixed adult cell group at a private home.</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teach a mixed biblical studies course at a seminary or Bible college.</w:t>
      </w:r>
    </w:p>
    <w:p w:rsidR="00AD17EF" w:rsidRPr="009730E0" w:rsidRDefault="00AD17EF" w:rsidP="00877020">
      <w:pPr>
        <w:pStyle w:val="Heading2"/>
        <w:spacing w:before="0" w:line="360" w:lineRule="auto"/>
        <w:jc w:val="left"/>
        <w:rPr>
          <w:rFonts w:ascii="Arial" w:hAnsi="Arial" w:cs="Arial"/>
          <w:sz w:val="21"/>
          <w:szCs w:val="18"/>
        </w:rPr>
      </w:pPr>
      <w:r w:rsidRPr="009730E0">
        <w:rPr>
          <w:rFonts w:ascii="Arial" w:hAnsi="Arial" w:cs="Arial"/>
          <w:sz w:val="21"/>
          <w:szCs w:val="18"/>
        </w:rPr>
        <w:t xml:space="preserve">A woman </w:t>
      </w:r>
      <w:r w:rsidR="00B67C72">
        <w:rPr>
          <w:rFonts w:ascii="Arial" w:hAnsi="Arial" w:cs="Arial"/>
          <w:sz w:val="21"/>
          <w:szCs w:val="18"/>
        </w:rPr>
        <w:t>can</w:t>
      </w:r>
      <w:r w:rsidR="00B67C72" w:rsidRPr="009730E0">
        <w:rPr>
          <w:rFonts w:ascii="Arial" w:hAnsi="Arial" w:cs="Arial"/>
          <w:sz w:val="21"/>
          <w:szCs w:val="18"/>
        </w:rPr>
        <w:t xml:space="preserve">not </w:t>
      </w:r>
      <w:r w:rsidRPr="009730E0">
        <w:rPr>
          <w:rFonts w:ascii="Arial" w:hAnsi="Arial" w:cs="Arial"/>
          <w:sz w:val="21"/>
          <w:szCs w:val="18"/>
        </w:rPr>
        <w:t>teach a mixed non-biblical course at a seminary or Bible college.</w:t>
      </w:r>
    </w:p>
    <w:p w:rsidR="00AD17EF" w:rsidRPr="009730E0" w:rsidRDefault="00AD17EF" w:rsidP="00877020">
      <w:pPr>
        <w:pStyle w:val="Heading1"/>
        <w:spacing w:before="0"/>
        <w:ind w:right="-10"/>
        <w:jc w:val="left"/>
        <w:rPr>
          <w:rFonts w:ascii="Arial" w:hAnsi="Arial" w:cs="Arial"/>
          <w:sz w:val="21"/>
          <w:szCs w:val="18"/>
        </w:rPr>
      </w:pPr>
      <w:r w:rsidRPr="009730E0">
        <w:rPr>
          <w:rFonts w:ascii="Arial" w:hAnsi="Arial" w:cs="Arial"/>
          <w:sz w:val="21"/>
          <w:szCs w:val="18"/>
        </w:rPr>
        <w:t>Conclusion</w:t>
      </w:r>
    </w:p>
    <w:p w:rsidR="00AD17EF" w:rsidRPr="009730E0" w:rsidRDefault="00AD17EF" w:rsidP="00877020">
      <w:pPr>
        <w:ind w:right="-10"/>
        <w:rPr>
          <w:rFonts w:ascii="Arial" w:hAnsi="Arial" w:cs="Arial"/>
          <w:sz w:val="21"/>
          <w:szCs w:val="18"/>
        </w:rPr>
      </w:pPr>
    </w:p>
    <w:p w:rsidR="00AD17EF" w:rsidRPr="009730E0" w:rsidRDefault="00AD17EF" w:rsidP="00877020">
      <w:pPr>
        <w:ind w:left="450" w:right="-10"/>
        <w:rPr>
          <w:rFonts w:ascii="Arial" w:hAnsi="Arial" w:cs="Arial"/>
          <w:sz w:val="21"/>
          <w:szCs w:val="18"/>
        </w:rPr>
      </w:pPr>
      <w:r w:rsidRPr="009730E0">
        <w:rPr>
          <w:rFonts w:ascii="Arial" w:hAnsi="Arial" w:cs="Arial"/>
          <w:sz w:val="21"/>
          <w:szCs w:val="18"/>
        </w:rPr>
        <w:t xml:space="preserve">Believers who take 1 Timothy 2:12 seriously find the above agree-disagree statements difficult.  Where does one draw the line?  As advocates of grace, our church believes that women should be given as much latitude as biblically possible.  Scripture does not prohibit women from teaching men in private contexts such as Priscilla and Aquila did with Apollos (Acts 18:26).  This would allow them to teach any course in the seminary, as well as teaching and serving in most leadership positions within the church.  In fact, Scripture grants women authority to direct men in </w:t>
      </w:r>
      <w:r w:rsidRPr="009730E0">
        <w:rPr>
          <w:rFonts w:ascii="Arial" w:hAnsi="Arial" w:cs="Arial"/>
          <w:i/>
          <w:sz w:val="21"/>
          <w:szCs w:val="18"/>
        </w:rPr>
        <w:t>most</w:t>
      </w:r>
      <w:r w:rsidRPr="009730E0">
        <w:rPr>
          <w:rFonts w:ascii="Arial" w:hAnsi="Arial" w:cs="Arial"/>
          <w:sz w:val="21"/>
          <w:szCs w:val="18"/>
        </w:rPr>
        <w:t xml:space="preserve"> local church positions, except (a) being an elder (repeated “he” and “husband” of 1 Tim. 3:1-7), (b) serving as a deacon (1 Tim. 3:8-12), (c) leading as senior pastor (an elder position), and (d) the public assembly context of 1 Timothy 2 requires women to listen rather than to teach </w:t>
      </w:r>
      <w:r w:rsidRPr="009730E0">
        <w:rPr>
          <w:rFonts w:ascii="Arial" w:hAnsi="Arial" w:cs="Arial"/>
          <w:i/>
          <w:sz w:val="21"/>
          <w:szCs w:val="18"/>
        </w:rPr>
        <w:t>in that worship service only</w:t>
      </w:r>
      <w:r w:rsidRPr="009730E0">
        <w:rPr>
          <w:rFonts w:ascii="Arial" w:hAnsi="Arial" w:cs="Arial"/>
          <w:sz w:val="21"/>
          <w:szCs w:val="18"/>
        </w:rPr>
        <w:t xml:space="preserve">, and to follow rather than to exercise authority over men </w:t>
      </w:r>
      <w:r w:rsidRPr="009730E0">
        <w:rPr>
          <w:rFonts w:ascii="Arial" w:hAnsi="Arial" w:cs="Arial"/>
          <w:i/>
          <w:sz w:val="21"/>
          <w:szCs w:val="18"/>
        </w:rPr>
        <w:t>in that worship service only.</w:t>
      </w:r>
      <w:r w:rsidRPr="009730E0">
        <w:rPr>
          <w:rFonts w:ascii="Arial" w:hAnsi="Arial" w:cs="Arial"/>
          <w:sz w:val="21"/>
          <w:szCs w:val="18"/>
        </w:rPr>
        <w:t xml:space="preserve">  Surely many women are as gifted by the Spirit as are men (both now and in Paul’s day), but this is not the issue.  The point is that both NT examples and commands impose the above as universal limitations in their roles.  That these limits are not applied in many (especially missionary) settings does not absolve our church from obedience.  Therefore, we agree with statements A &amp; B above, we’re unsure with C, and disagree with D-I.</w:t>
      </w:r>
    </w:p>
    <w:p w:rsidR="00AD17EF" w:rsidRPr="009730E0" w:rsidRDefault="00AD17EF" w:rsidP="00877020">
      <w:pPr>
        <w:ind w:left="450" w:right="-10"/>
        <w:rPr>
          <w:rFonts w:ascii="Arial" w:hAnsi="Arial" w:cs="Arial"/>
          <w:sz w:val="21"/>
          <w:szCs w:val="18"/>
        </w:rPr>
      </w:pPr>
    </w:p>
    <w:p w:rsidR="00AD17EF" w:rsidRPr="009730E0" w:rsidRDefault="00AD17EF" w:rsidP="00877020">
      <w:pPr>
        <w:ind w:left="450" w:right="-10"/>
        <w:rPr>
          <w:rFonts w:ascii="Arial" w:hAnsi="Arial" w:cs="Arial"/>
          <w:sz w:val="21"/>
          <w:szCs w:val="18"/>
        </w:rPr>
      </w:pPr>
      <w:r w:rsidRPr="009730E0">
        <w:rPr>
          <w:rFonts w:ascii="Arial" w:hAnsi="Arial" w:cs="Arial"/>
          <w:sz w:val="21"/>
          <w:szCs w:val="18"/>
        </w:rPr>
        <w:t xml:space="preserve">The four questions addressed in this paper </w:t>
      </w:r>
      <w:r w:rsidR="00DD7B13" w:rsidRPr="009730E0">
        <w:rPr>
          <w:rFonts w:ascii="Arial" w:hAnsi="Arial" w:cs="Arial"/>
          <w:sz w:val="21"/>
          <w:szCs w:val="18"/>
        </w:rPr>
        <w:t xml:space="preserve">thus </w:t>
      </w:r>
      <w:r w:rsidRPr="009730E0">
        <w:rPr>
          <w:rFonts w:ascii="Arial" w:hAnsi="Arial" w:cs="Arial"/>
          <w:sz w:val="21"/>
          <w:szCs w:val="18"/>
        </w:rPr>
        <w:t>have the following answers:</w:t>
      </w:r>
    </w:p>
    <w:p w:rsidR="00507D1A" w:rsidRPr="009730E0" w:rsidRDefault="00507D1A" w:rsidP="00877020">
      <w:pPr>
        <w:tabs>
          <w:tab w:val="num" w:pos="300"/>
        </w:tabs>
        <w:ind w:left="450" w:right="-10"/>
        <w:rPr>
          <w:rFonts w:ascii="Arial" w:hAnsi="Arial" w:cs="Arial"/>
          <w:i/>
          <w:sz w:val="11"/>
          <w:szCs w:val="18"/>
        </w:rPr>
      </w:pPr>
    </w:p>
    <w:p w:rsidR="00AD17EF" w:rsidRPr="009730E0" w:rsidRDefault="00AD17EF" w:rsidP="00877020">
      <w:pPr>
        <w:tabs>
          <w:tab w:val="num" w:pos="300"/>
        </w:tabs>
        <w:ind w:left="450" w:right="-10"/>
        <w:rPr>
          <w:rFonts w:ascii="Arial" w:hAnsi="Arial" w:cs="Arial"/>
          <w:i/>
          <w:sz w:val="21"/>
          <w:szCs w:val="18"/>
        </w:rPr>
      </w:pPr>
      <w:r w:rsidRPr="009730E0">
        <w:rPr>
          <w:rFonts w:ascii="Arial" w:hAnsi="Arial" w:cs="Arial"/>
          <w:sz w:val="21"/>
          <w:szCs w:val="18"/>
        </w:rPr>
        <w:t>1.</w:t>
      </w:r>
      <w:r w:rsidRPr="009730E0">
        <w:rPr>
          <w:rFonts w:ascii="Arial" w:hAnsi="Arial" w:cs="Arial"/>
          <w:sz w:val="21"/>
          <w:szCs w:val="18"/>
        </w:rPr>
        <w:tab/>
      </w:r>
      <w:r w:rsidRPr="009730E0">
        <w:rPr>
          <w:rFonts w:ascii="Arial" w:hAnsi="Arial" w:cs="Arial"/>
          <w:sz w:val="21"/>
          <w:szCs w:val="18"/>
          <w:u w:val="single"/>
        </w:rPr>
        <w:t>Context</w:t>
      </w:r>
      <w:r w:rsidRPr="009730E0">
        <w:rPr>
          <w:rFonts w:ascii="Arial" w:hAnsi="Arial" w:cs="Arial"/>
          <w:sz w:val="21"/>
          <w:szCs w:val="18"/>
        </w:rPr>
        <w:t xml:space="preserve">: Do these limits apply </w:t>
      </w:r>
      <w:r w:rsidR="00543F57" w:rsidRPr="009730E0">
        <w:rPr>
          <w:rFonts w:ascii="Arial" w:hAnsi="Arial" w:cs="Arial"/>
          <w:sz w:val="21"/>
          <w:szCs w:val="18"/>
        </w:rPr>
        <w:t xml:space="preserve">both </w:t>
      </w:r>
      <w:r w:rsidRPr="009730E0">
        <w:rPr>
          <w:rFonts w:ascii="Arial" w:hAnsi="Arial" w:cs="Arial"/>
          <w:sz w:val="21"/>
          <w:szCs w:val="18"/>
        </w:rPr>
        <w:t>private</w:t>
      </w:r>
      <w:r w:rsidR="00543F57">
        <w:rPr>
          <w:rFonts w:ascii="Arial" w:hAnsi="Arial" w:cs="Arial"/>
          <w:sz w:val="21"/>
          <w:szCs w:val="18"/>
        </w:rPr>
        <w:t>ly</w:t>
      </w:r>
      <w:r w:rsidRPr="009730E0">
        <w:rPr>
          <w:rFonts w:ascii="Arial" w:hAnsi="Arial" w:cs="Arial"/>
          <w:sz w:val="21"/>
          <w:szCs w:val="18"/>
        </w:rPr>
        <w:t xml:space="preserve"> and public</w:t>
      </w:r>
      <w:r w:rsidR="00543F57">
        <w:rPr>
          <w:rFonts w:ascii="Arial" w:hAnsi="Arial" w:cs="Arial"/>
          <w:sz w:val="21"/>
          <w:szCs w:val="18"/>
        </w:rPr>
        <w:t>ly</w:t>
      </w:r>
      <w:r w:rsidRPr="009730E0">
        <w:rPr>
          <w:rFonts w:ascii="Arial" w:hAnsi="Arial" w:cs="Arial"/>
          <w:sz w:val="21"/>
          <w:szCs w:val="18"/>
        </w:rPr>
        <w:t xml:space="preserve">? </w:t>
      </w:r>
      <w:r w:rsidRPr="009730E0">
        <w:rPr>
          <w:rFonts w:ascii="Arial" w:hAnsi="Arial" w:cs="Arial"/>
          <w:i/>
          <w:sz w:val="21"/>
          <w:szCs w:val="18"/>
        </w:rPr>
        <w:t>They relate to public worship only.</w:t>
      </w:r>
    </w:p>
    <w:p w:rsidR="00507D1A" w:rsidRPr="009730E0" w:rsidRDefault="00507D1A" w:rsidP="00877020">
      <w:pPr>
        <w:tabs>
          <w:tab w:val="num" w:pos="300"/>
        </w:tabs>
        <w:ind w:left="450" w:right="-10"/>
        <w:rPr>
          <w:rFonts w:ascii="Arial" w:hAnsi="Arial" w:cs="Arial"/>
          <w:i/>
          <w:sz w:val="11"/>
          <w:szCs w:val="18"/>
        </w:rPr>
      </w:pPr>
    </w:p>
    <w:p w:rsidR="00AD17EF" w:rsidRPr="009730E0" w:rsidRDefault="00AD17EF" w:rsidP="00877020">
      <w:pPr>
        <w:tabs>
          <w:tab w:val="num" w:pos="300"/>
        </w:tabs>
        <w:ind w:left="450" w:right="-10"/>
        <w:rPr>
          <w:rFonts w:ascii="Arial" w:hAnsi="Arial" w:cs="Arial"/>
          <w:i/>
          <w:sz w:val="21"/>
          <w:szCs w:val="18"/>
        </w:rPr>
      </w:pPr>
      <w:r w:rsidRPr="009730E0">
        <w:rPr>
          <w:rFonts w:ascii="Arial" w:hAnsi="Arial" w:cs="Arial"/>
          <w:sz w:val="21"/>
          <w:szCs w:val="18"/>
        </w:rPr>
        <w:t>2.</w:t>
      </w:r>
      <w:r w:rsidRPr="009730E0">
        <w:rPr>
          <w:rFonts w:ascii="Arial" w:hAnsi="Arial" w:cs="Arial"/>
          <w:sz w:val="21"/>
          <w:szCs w:val="18"/>
        </w:rPr>
        <w:tab/>
      </w:r>
      <w:r w:rsidRPr="009730E0">
        <w:rPr>
          <w:rFonts w:ascii="Arial" w:hAnsi="Arial" w:cs="Arial"/>
          <w:sz w:val="21"/>
          <w:szCs w:val="18"/>
          <w:u w:val="single"/>
        </w:rPr>
        <w:t>Meaning</w:t>
      </w:r>
      <w:r w:rsidRPr="009730E0">
        <w:rPr>
          <w:rFonts w:ascii="Arial" w:hAnsi="Arial" w:cs="Arial"/>
          <w:sz w:val="21"/>
          <w:szCs w:val="18"/>
        </w:rPr>
        <w:t>: Is “exercise authority” the best translation?</w:t>
      </w:r>
      <w:r w:rsidRPr="009730E0">
        <w:rPr>
          <w:rFonts w:ascii="Arial" w:hAnsi="Arial" w:cs="Arial"/>
          <w:i/>
          <w:sz w:val="21"/>
          <w:szCs w:val="18"/>
        </w:rPr>
        <w:t xml:space="preserve">  Yes, it has a neutral or positive sense.</w:t>
      </w:r>
    </w:p>
    <w:p w:rsidR="00507D1A" w:rsidRPr="009730E0" w:rsidRDefault="00507D1A" w:rsidP="00877020">
      <w:pPr>
        <w:tabs>
          <w:tab w:val="num" w:pos="300"/>
        </w:tabs>
        <w:ind w:left="450" w:right="-10"/>
        <w:rPr>
          <w:rFonts w:ascii="Arial" w:hAnsi="Arial" w:cs="Arial"/>
          <w:i/>
          <w:sz w:val="11"/>
          <w:szCs w:val="18"/>
        </w:rPr>
      </w:pPr>
    </w:p>
    <w:p w:rsidR="00AD17EF" w:rsidRPr="009730E0" w:rsidRDefault="00AD17EF" w:rsidP="00877020">
      <w:pPr>
        <w:tabs>
          <w:tab w:val="num" w:pos="300"/>
        </w:tabs>
        <w:ind w:left="450" w:right="-10"/>
        <w:rPr>
          <w:rFonts w:ascii="Arial" w:hAnsi="Arial" w:cs="Arial"/>
          <w:i/>
          <w:sz w:val="21"/>
          <w:szCs w:val="18"/>
        </w:rPr>
      </w:pPr>
      <w:r w:rsidRPr="009730E0">
        <w:rPr>
          <w:rFonts w:ascii="Arial" w:hAnsi="Arial" w:cs="Arial"/>
          <w:sz w:val="21"/>
          <w:szCs w:val="18"/>
        </w:rPr>
        <w:t>3.</w:t>
      </w:r>
      <w:r w:rsidRPr="009730E0">
        <w:rPr>
          <w:rFonts w:ascii="Arial" w:hAnsi="Arial" w:cs="Arial"/>
          <w:sz w:val="21"/>
          <w:szCs w:val="18"/>
        </w:rPr>
        <w:tab/>
      </w:r>
      <w:r w:rsidRPr="009730E0">
        <w:rPr>
          <w:rFonts w:ascii="Arial" w:hAnsi="Arial" w:cs="Arial"/>
          <w:sz w:val="21"/>
          <w:szCs w:val="18"/>
          <w:u w:val="single"/>
        </w:rPr>
        <w:t>Culture</w:t>
      </w:r>
      <w:r w:rsidRPr="009730E0">
        <w:rPr>
          <w:rFonts w:ascii="Arial" w:hAnsi="Arial" w:cs="Arial"/>
          <w:sz w:val="21"/>
          <w:szCs w:val="18"/>
        </w:rPr>
        <w:t xml:space="preserve">: Does the </w:t>
      </w:r>
      <w:r w:rsidR="00543F57" w:rsidRPr="009730E0">
        <w:rPr>
          <w:rFonts w:ascii="Arial" w:hAnsi="Arial" w:cs="Arial"/>
          <w:sz w:val="21"/>
          <w:szCs w:val="18"/>
        </w:rPr>
        <w:t>ban</w:t>
      </w:r>
      <w:r w:rsidRPr="009730E0">
        <w:rPr>
          <w:rFonts w:ascii="Arial" w:hAnsi="Arial" w:cs="Arial"/>
          <w:sz w:val="21"/>
          <w:szCs w:val="18"/>
        </w:rPr>
        <w:t xml:space="preserve"> </w:t>
      </w:r>
      <w:r w:rsidR="00543F57">
        <w:rPr>
          <w:rFonts w:ascii="Arial" w:hAnsi="Arial" w:cs="Arial"/>
          <w:sz w:val="21"/>
          <w:szCs w:val="18"/>
        </w:rPr>
        <w:t>on</w:t>
      </w:r>
      <w:r w:rsidRPr="009730E0">
        <w:rPr>
          <w:rFonts w:ascii="Arial" w:hAnsi="Arial" w:cs="Arial"/>
          <w:sz w:val="21"/>
          <w:szCs w:val="18"/>
        </w:rPr>
        <w:t xml:space="preserve"> teaching and leading men apply today?</w:t>
      </w:r>
      <w:r w:rsidRPr="009730E0">
        <w:rPr>
          <w:rFonts w:ascii="Arial" w:hAnsi="Arial" w:cs="Arial"/>
          <w:i/>
          <w:sz w:val="21"/>
          <w:szCs w:val="18"/>
        </w:rPr>
        <w:t xml:space="preserve"> Yes, it is trans</w:t>
      </w:r>
      <w:r w:rsidR="00DD7B13" w:rsidRPr="009730E0">
        <w:rPr>
          <w:rFonts w:ascii="Arial" w:hAnsi="Arial" w:cs="Arial"/>
          <w:i/>
          <w:sz w:val="21"/>
          <w:szCs w:val="18"/>
        </w:rPr>
        <w:t>-</w:t>
      </w:r>
      <w:r w:rsidRPr="009730E0">
        <w:rPr>
          <w:rFonts w:ascii="Arial" w:hAnsi="Arial" w:cs="Arial"/>
          <w:i/>
          <w:sz w:val="21"/>
          <w:szCs w:val="18"/>
        </w:rPr>
        <w:t>cultural.</w:t>
      </w:r>
    </w:p>
    <w:p w:rsidR="00507D1A" w:rsidRPr="009730E0" w:rsidRDefault="00507D1A" w:rsidP="00877020">
      <w:pPr>
        <w:tabs>
          <w:tab w:val="num" w:pos="300"/>
        </w:tabs>
        <w:ind w:left="450" w:right="-10"/>
        <w:rPr>
          <w:rFonts w:ascii="Arial" w:hAnsi="Arial" w:cs="Arial"/>
          <w:i/>
          <w:sz w:val="11"/>
          <w:szCs w:val="18"/>
        </w:rPr>
      </w:pPr>
    </w:p>
    <w:p w:rsidR="00AD17EF" w:rsidRPr="009730E0" w:rsidRDefault="00AD17EF" w:rsidP="00877020">
      <w:pPr>
        <w:tabs>
          <w:tab w:val="num" w:pos="300"/>
        </w:tabs>
        <w:ind w:left="720" w:right="-10" w:hanging="270"/>
        <w:rPr>
          <w:rFonts w:ascii="Arial" w:hAnsi="Arial" w:cs="Arial"/>
          <w:i/>
          <w:sz w:val="21"/>
          <w:szCs w:val="18"/>
        </w:rPr>
      </w:pPr>
      <w:r w:rsidRPr="009730E0">
        <w:rPr>
          <w:rFonts w:ascii="Arial" w:hAnsi="Arial" w:cs="Arial"/>
          <w:sz w:val="21"/>
          <w:szCs w:val="18"/>
        </w:rPr>
        <w:t>4.</w:t>
      </w:r>
      <w:r w:rsidRPr="009730E0">
        <w:rPr>
          <w:rFonts w:ascii="Arial" w:hAnsi="Arial" w:cs="Arial"/>
          <w:sz w:val="21"/>
          <w:szCs w:val="18"/>
        </w:rPr>
        <w:tab/>
      </w:r>
      <w:r w:rsidRPr="009730E0">
        <w:rPr>
          <w:rFonts w:ascii="Arial" w:hAnsi="Arial" w:cs="Arial"/>
          <w:sz w:val="21"/>
          <w:szCs w:val="18"/>
          <w:u w:val="single"/>
        </w:rPr>
        <w:t>Application</w:t>
      </w:r>
      <w:r w:rsidRPr="009730E0">
        <w:rPr>
          <w:rFonts w:ascii="Arial" w:hAnsi="Arial" w:cs="Arial"/>
          <w:sz w:val="21"/>
          <w:szCs w:val="18"/>
        </w:rPr>
        <w:t xml:space="preserve">: Which church ministries convey authority </w:t>
      </w:r>
      <w:r w:rsidR="00543F57">
        <w:rPr>
          <w:rFonts w:ascii="Arial" w:hAnsi="Arial" w:cs="Arial"/>
          <w:sz w:val="21"/>
          <w:szCs w:val="18"/>
        </w:rPr>
        <w:t>so are</w:t>
      </w:r>
      <w:r w:rsidRPr="009730E0">
        <w:rPr>
          <w:rFonts w:ascii="Arial" w:hAnsi="Arial" w:cs="Arial"/>
          <w:sz w:val="21"/>
          <w:szCs w:val="18"/>
        </w:rPr>
        <w:t xml:space="preserve"> restricted to men?</w:t>
      </w:r>
      <w:r w:rsidRPr="009730E0">
        <w:rPr>
          <w:rFonts w:ascii="Arial" w:hAnsi="Arial" w:cs="Arial"/>
          <w:i/>
          <w:sz w:val="21"/>
          <w:szCs w:val="18"/>
        </w:rPr>
        <w:t xml:space="preserve">  </w:t>
      </w:r>
      <w:r w:rsidR="00543F57">
        <w:rPr>
          <w:rFonts w:ascii="Arial" w:hAnsi="Arial" w:cs="Arial"/>
          <w:i/>
          <w:sz w:val="21"/>
          <w:szCs w:val="18"/>
        </w:rPr>
        <w:t>First</w:t>
      </w:r>
      <w:r w:rsidRPr="009730E0">
        <w:rPr>
          <w:rFonts w:ascii="Arial" w:hAnsi="Arial" w:cs="Arial"/>
          <w:i/>
          <w:sz w:val="21"/>
          <w:szCs w:val="18"/>
        </w:rPr>
        <w:t xml:space="preserve"> Timothy 2:8, 12 </w:t>
      </w:r>
      <w:r w:rsidR="00543F57">
        <w:rPr>
          <w:rFonts w:ascii="Arial" w:hAnsi="Arial" w:cs="Arial"/>
          <w:i/>
          <w:sz w:val="21"/>
          <w:szCs w:val="18"/>
        </w:rPr>
        <w:t>limits</w:t>
      </w:r>
      <w:r w:rsidRPr="009730E0">
        <w:rPr>
          <w:rFonts w:ascii="Arial" w:hAnsi="Arial" w:cs="Arial"/>
          <w:i/>
          <w:sz w:val="21"/>
          <w:szCs w:val="18"/>
        </w:rPr>
        <w:t xml:space="preserve"> women from teaching or authoritative lead</w:t>
      </w:r>
      <w:r w:rsidR="00543F57">
        <w:rPr>
          <w:rFonts w:ascii="Arial" w:hAnsi="Arial" w:cs="Arial"/>
          <w:i/>
          <w:sz w:val="21"/>
          <w:szCs w:val="18"/>
        </w:rPr>
        <w:t>ing</w:t>
      </w:r>
      <w:r w:rsidRPr="009730E0">
        <w:rPr>
          <w:rFonts w:ascii="Arial" w:hAnsi="Arial" w:cs="Arial"/>
          <w:i/>
          <w:sz w:val="21"/>
          <w:szCs w:val="18"/>
        </w:rPr>
        <w:t xml:space="preserve"> (e.g., </w:t>
      </w:r>
      <w:r w:rsidR="00543F57">
        <w:rPr>
          <w:rFonts w:ascii="Arial" w:hAnsi="Arial" w:cs="Arial"/>
          <w:i/>
          <w:sz w:val="21"/>
          <w:szCs w:val="18"/>
        </w:rPr>
        <w:t>public</w:t>
      </w:r>
      <w:r w:rsidRPr="009730E0">
        <w:rPr>
          <w:rFonts w:ascii="Arial" w:hAnsi="Arial" w:cs="Arial"/>
          <w:i/>
          <w:sz w:val="21"/>
          <w:szCs w:val="18"/>
        </w:rPr>
        <w:t xml:space="preserve"> prayer) in a church worship service.  Other texts limit them from being an elder (esp. </w:t>
      </w:r>
      <w:r w:rsidRPr="00543F57">
        <w:rPr>
          <w:rFonts w:ascii="Arial" w:hAnsi="Arial" w:cs="Arial"/>
          <w:i/>
          <w:sz w:val="21"/>
          <w:szCs w:val="21"/>
        </w:rPr>
        <w:t>pastor-teacher</w:t>
      </w:r>
      <w:r w:rsidRPr="009730E0">
        <w:rPr>
          <w:rFonts w:ascii="Arial" w:hAnsi="Arial" w:cs="Arial"/>
          <w:i/>
          <w:sz w:val="21"/>
          <w:szCs w:val="18"/>
        </w:rPr>
        <w:t>) or deacon.</w:t>
      </w:r>
    </w:p>
    <w:p w:rsidR="00AD17EF" w:rsidRPr="009730E0" w:rsidRDefault="00AD17EF" w:rsidP="00877020">
      <w:pPr>
        <w:ind w:left="450" w:right="-10"/>
        <w:rPr>
          <w:rFonts w:ascii="Arial" w:hAnsi="Arial" w:cs="Arial"/>
          <w:sz w:val="21"/>
          <w:szCs w:val="18"/>
        </w:rPr>
      </w:pPr>
    </w:p>
    <w:p w:rsidR="00AD17EF" w:rsidRPr="009730E0" w:rsidRDefault="00AD17EF" w:rsidP="00877020">
      <w:pPr>
        <w:ind w:left="450" w:right="-10"/>
        <w:rPr>
          <w:rFonts w:ascii="Arial" w:hAnsi="Arial" w:cs="Arial"/>
          <w:sz w:val="21"/>
          <w:szCs w:val="18"/>
        </w:rPr>
      </w:pPr>
      <w:r w:rsidRPr="009730E0">
        <w:rPr>
          <w:rFonts w:ascii="Arial" w:hAnsi="Arial" w:cs="Arial"/>
          <w:sz w:val="21"/>
          <w:szCs w:val="18"/>
        </w:rPr>
        <w:t>The cliché says, “The hand that rocks the cradle rules the world.”  Was it true years ago before the rise of feminism?  Is it true today?  How can women have the greatest impact for Christ?  Paul believed in marriage and in the great influence that mothers have over their children (1 Cor. 7:14).  He also wanted people to do the most for the cause of Christ—men and women alike.  For this reason, he continued the age-old practice in the first century of keeping women in the most influential place possible in society: the home (2 Tim. 1:5; 3:14-15).  However, women are also gifted of God to serve Christ in thousands of ways outside the family, with the exception of the few public context positions noted in the NT.</w:t>
      </w:r>
    </w:p>
    <w:p w:rsidR="00507D1A" w:rsidRPr="009730E0" w:rsidRDefault="00507D1A">
      <w:pPr>
        <w:ind w:left="450" w:right="-10"/>
        <w:rPr>
          <w:rFonts w:ascii="Arial" w:hAnsi="Arial" w:cs="Arial"/>
          <w:sz w:val="21"/>
          <w:szCs w:val="18"/>
        </w:rPr>
      </w:pPr>
    </w:p>
    <w:p w:rsidR="00507D1A" w:rsidRPr="009730E0" w:rsidRDefault="00507D1A" w:rsidP="00507D1A">
      <w:pPr>
        <w:ind w:left="450" w:right="-10"/>
        <w:jc w:val="center"/>
        <w:rPr>
          <w:rFonts w:ascii="Arial" w:hAnsi="Arial" w:cs="Arial"/>
          <w:i/>
          <w:sz w:val="21"/>
          <w:szCs w:val="18"/>
        </w:rPr>
      </w:pPr>
      <w:r w:rsidRPr="009730E0">
        <w:rPr>
          <w:rFonts w:ascii="Arial" w:hAnsi="Arial" w:cs="Arial"/>
          <w:i/>
          <w:sz w:val="21"/>
          <w:szCs w:val="18"/>
        </w:rPr>
        <w:t>Approved by the elders of Crossroads International Church on 5 December 2006</w:t>
      </w:r>
    </w:p>
    <w:sectPr w:rsidR="00507D1A" w:rsidRPr="009730E0" w:rsidSect="00AD17EF">
      <w:headerReference w:type="default" r:id="rId7"/>
      <w:footerReference w:type="default" r:id="rId8"/>
      <w:pgSz w:w="11880" w:h="16820"/>
      <w:pgMar w:top="720" w:right="1022" w:bottom="720" w:left="1238" w:header="720" w:footer="720" w:gutter="0"/>
      <w:pgNumType w:fmt="lowerLetter" w:start="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13CE" w:rsidRDefault="004D13CE">
      <w:r>
        <w:separator/>
      </w:r>
    </w:p>
  </w:endnote>
  <w:endnote w:type="continuationSeparator" w:id="0">
    <w:p w:rsidR="004D13CE" w:rsidRDefault="004D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wgrki">
    <w:panose1 w:val="020004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7EF" w:rsidRPr="00790088" w:rsidRDefault="00202606" w:rsidP="00AD17EF">
    <w:pPr>
      <w:pStyle w:val="Footer"/>
      <w:jc w:val="right"/>
      <w:rPr>
        <w:rFonts w:ascii="Arial" w:hAnsi="Arial" w:cs="Arial"/>
        <w:i/>
        <w:iCs/>
        <w:sz w:val="13"/>
        <w:szCs w:val="16"/>
      </w:rPr>
    </w:pPr>
    <w:r>
      <w:rPr>
        <w:rFonts w:ascii="Arial" w:hAnsi="Arial" w:cs="Arial"/>
        <w:i/>
        <w:iCs/>
        <w:sz w:val="13"/>
        <w:szCs w:val="16"/>
      </w:rPr>
      <w:t>4</w:t>
    </w:r>
    <w:r w:rsidRPr="00202606">
      <w:rPr>
        <w:rFonts w:ascii="Arial" w:hAnsi="Arial" w:cs="Arial"/>
        <w:i/>
        <w:iCs/>
        <w:sz w:val="13"/>
        <w:szCs w:val="16"/>
        <w:vertAlign w:val="superscript"/>
      </w:rPr>
      <w:t>th</w:t>
    </w:r>
    <w:r>
      <w:rPr>
        <w:rFonts w:ascii="Arial" w:hAnsi="Arial" w:cs="Arial"/>
        <w:i/>
        <w:iCs/>
        <w:sz w:val="13"/>
        <w:szCs w:val="16"/>
      </w:rPr>
      <w:t xml:space="preserve"> ed—</w:t>
    </w:r>
    <w:r w:rsidR="00AD17EF" w:rsidRPr="00790088">
      <w:rPr>
        <w:rFonts w:ascii="Arial" w:hAnsi="Arial" w:cs="Arial"/>
        <w:i/>
        <w:iCs/>
        <w:sz w:val="13"/>
        <w:szCs w:val="16"/>
      </w:rPr>
      <w:fldChar w:fldCharType="begin"/>
    </w:r>
    <w:r w:rsidR="00AD17EF" w:rsidRPr="00790088">
      <w:rPr>
        <w:rFonts w:ascii="Arial" w:hAnsi="Arial" w:cs="Arial"/>
        <w:i/>
        <w:iCs/>
        <w:sz w:val="13"/>
        <w:szCs w:val="16"/>
      </w:rPr>
      <w:instrText xml:space="preserve"> TIME \@ "d-MMM-yy" </w:instrText>
    </w:r>
    <w:r w:rsidR="00AD17EF" w:rsidRPr="00790088">
      <w:rPr>
        <w:rFonts w:ascii="Arial" w:hAnsi="Arial" w:cs="Arial"/>
        <w:i/>
        <w:iCs/>
        <w:sz w:val="13"/>
        <w:szCs w:val="16"/>
      </w:rPr>
      <w:fldChar w:fldCharType="separate"/>
    </w:r>
    <w:r w:rsidR="005F107F">
      <w:rPr>
        <w:rFonts w:ascii="Arial" w:hAnsi="Arial" w:cs="Arial"/>
        <w:i/>
        <w:iCs/>
        <w:noProof/>
        <w:sz w:val="13"/>
        <w:szCs w:val="16"/>
      </w:rPr>
      <w:t>21-Jun-20</w:t>
    </w:r>
    <w:r w:rsidR="00AD17EF" w:rsidRPr="00790088">
      <w:rPr>
        <w:rFonts w:ascii="Arial" w:hAnsi="Arial" w:cs="Arial"/>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13CE" w:rsidRDefault="004D13CE">
      <w:r>
        <w:separator/>
      </w:r>
    </w:p>
  </w:footnote>
  <w:footnote w:type="continuationSeparator" w:id="0">
    <w:p w:rsidR="004D13CE" w:rsidRDefault="004D13CE">
      <w:r>
        <w:continuationSeparator/>
      </w:r>
    </w:p>
  </w:footnote>
  <w:footnote w:id="1">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The negative sense is also indicated as possible in Thayer’s Lexicon, though Thayer </w:t>
      </w:r>
      <w:r w:rsidR="003D5BDC" w:rsidRPr="007766FC">
        <w:rPr>
          <w:rFonts w:ascii="Arial" w:hAnsi="Arial" w:cs="Arial"/>
          <w:sz w:val="18"/>
          <w:szCs w:val="18"/>
        </w:rPr>
        <w:t>applies a neutral</w:t>
      </w:r>
      <w:r w:rsidRPr="007766FC">
        <w:rPr>
          <w:rFonts w:ascii="Arial" w:hAnsi="Arial" w:cs="Arial"/>
          <w:sz w:val="18"/>
          <w:szCs w:val="18"/>
        </w:rPr>
        <w:t xml:space="preserve"> meaning to 1 Tim. 2:12: “</w:t>
      </w:r>
      <w:proofErr w:type="spellStart"/>
      <w:r w:rsidRPr="007766FC">
        <w:rPr>
          <w:rFonts w:ascii="Bwgrki" w:hAnsi="Bwgrki" w:cs="Arial"/>
          <w:sz w:val="18"/>
          <w:szCs w:val="18"/>
        </w:rPr>
        <w:t>auvqente,w</w:t>
      </w:r>
      <w:proofErr w:type="spellEnd"/>
      <w:r w:rsidR="003D5BDC" w:rsidRPr="007766FC">
        <w:rPr>
          <w:rFonts w:ascii="Bwgrki" w:hAnsi="Bwgrki" w:cs="Arial"/>
          <w:sz w:val="18"/>
          <w:szCs w:val="18"/>
        </w:rPr>
        <w:t xml:space="preserve"> </w:t>
      </w:r>
      <w:proofErr w:type="spellStart"/>
      <w:r w:rsidR="003D5BDC" w:rsidRPr="007766FC">
        <w:rPr>
          <w:rFonts w:ascii="Bwgrki" w:hAnsi="Bwgrki" w:cs="Arial"/>
          <w:sz w:val="18"/>
          <w:szCs w:val="18"/>
        </w:rPr>
        <w:t>a</w:t>
      </w:r>
      <w:r w:rsidRPr="007766FC">
        <w:rPr>
          <w:rFonts w:ascii="Bwgrki" w:hAnsi="Bwgrki" w:cs="Arial"/>
          <w:sz w:val="18"/>
          <w:szCs w:val="18"/>
        </w:rPr>
        <w:t>u</w:t>
      </w:r>
      <w:r w:rsidR="003D5BDC" w:rsidRPr="007766FC">
        <w:rPr>
          <w:rFonts w:ascii="Bwgrki" w:hAnsi="Bwgrki" w:cs="Arial"/>
          <w:sz w:val="18"/>
          <w:szCs w:val="18"/>
        </w:rPr>
        <w:t>v</w:t>
      </w:r>
      <w:r w:rsidRPr="007766FC">
        <w:rPr>
          <w:rFonts w:ascii="Bwgrki" w:hAnsi="Bwgrki" w:cs="Arial"/>
          <w:sz w:val="18"/>
          <w:szCs w:val="18"/>
        </w:rPr>
        <w:t>qe,ntw</w:t>
      </w:r>
      <w:proofErr w:type="spellEnd"/>
      <w:r w:rsidR="003D5BDC" w:rsidRPr="007766FC">
        <w:rPr>
          <w:rFonts w:ascii="Bwgrki" w:hAnsi="Bwgrki" w:cs="Arial"/>
          <w:sz w:val="18"/>
          <w:szCs w:val="18"/>
        </w:rPr>
        <w:t>/</w:t>
      </w:r>
      <w:r w:rsidR="003D5BDC" w:rsidRPr="007766FC">
        <w:rPr>
          <w:rFonts w:ascii="Arial" w:hAnsi="Arial" w:cs="Arial"/>
          <w:sz w:val="18"/>
          <w:szCs w:val="18"/>
        </w:rPr>
        <w:t>; (a b</w:t>
      </w:r>
      <w:r w:rsidRPr="007766FC">
        <w:rPr>
          <w:rFonts w:ascii="Arial" w:hAnsi="Arial" w:cs="Arial"/>
          <w:sz w:val="18"/>
          <w:szCs w:val="18"/>
        </w:rPr>
        <w:t xml:space="preserve">iblical and ecclesiastical word; from </w:t>
      </w:r>
      <w:proofErr w:type="spellStart"/>
      <w:r w:rsidRPr="00790088">
        <w:rPr>
          <w:rFonts w:ascii="Bwgrki" w:hAnsi="Bwgrki" w:cs="Arial"/>
          <w:sz w:val="18"/>
          <w:szCs w:val="18"/>
        </w:rPr>
        <w:t>auvqe,nthj</w:t>
      </w:r>
      <w:proofErr w:type="spellEnd"/>
      <w:r w:rsidRPr="007766FC">
        <w:rPr>
          <w:rFonts w:ascii="Arial" w:hAnsi="Arial" w:cs="Arial"/>
          <w:sz w:val="18"/>
          <w:szCs w:val="18"/>
        </w:rPr>
        <w:t xml:space="preserve"> contracted from </w:t>
      </w:r>
      <w:proofErr w:type="spellStart"/>
      <w:r w:rsidRPr="00790088">
        <w:rPr>
          <w:rFonts w:ascii="Bwgrki" w:hAnsi="Bwgrki" w:cs="Arial"/>
          <w:sz w:val="18"/>
          <w:szCs w:val="18"/>
        </w:rPr>
        <w:t>auvtoe,nthj</w:t>
      </w:r>
      <w:proofErr w:type="spellEnd"/>
      <w:r w:rsidRPr="007766FC">
        <w:rPr>
          <w:rFonts w:ascii="Arial" w:hAnsi="Arial" w:cs="Arial"/>
          <w:sz w:val="18"/>
          <w:szCs w:val="18"/>
        </w:rPr>
        <w:t xml:space="preserve">, and this from </w:t>
      </w:r>
      <w:proofErr w:type="spellStart"/>
      <w:r w:rsidRPr="00790088">
        <w:rPr>
          <w:rFonts w:ascii="Bwgrki" w:hAnsi="Bwgrki" w:cs="Arial"/>
          <w:sz w:val="18"/>
          <w:szCs w:val="18"/>
        </w:rPr>
        <w:t>auvto,j</w:t>
      </w:r>
      <w:proofErr w:type="spellEnd"/>
      <w:r w:rsidRPr="007766FC">
        <w:rPr>
          <w:rFonts w:ascii="Arial" w:hAnsi="Arial" w:cs="Arial"/>
          <w:sz w:val="18"/>
          <w:szCs w:val="18"/>
        </w:rPr>
        <w:t xml:space="preserve"> and </w:t>
      </w:r>
      <w:proofErr w:type="spellStart"/>
      <w:r w:rsidRPr="00790088">
        <w:rPr>
          <w:rFonts w:ascii="Bwgrki" w:hAnsi="Bwgrki" w:cs="Arial"/>
          <w:sz w:val="18"/>
          <w:szCs w:val="18"/>
        </w:rPr>
        <w:t>e;ntea</w:t>
      </w:r>
      <w:proofErr w:type="spellEnd"/>
      <w:r w:rsidR="003D5BDC" w:rsidRPr="007766FC">
        <w:rPr>
          <w:rFonts w:ascii="Arial" w:hAnsi="Arial" w:cs="Arial"/>
          <w:sz w:val="18"/>
          <w:szCs w:val="18"/>
        </w:rPr>
        <w:t xml:space="preserve"> arms [</w:t>
      </w:r>
      <w:r w:rsidRPr="007766FC">
        <w:rPr>
          <w:rFonts w:ascii="Arial" w:hAnsi="Arial" w:cs="Arial"/>
          <w:sz w:val="18"/>
          <w:szCs w:val="18"/>
        </w:rPr>
        <w:t xml:space="preserve">others, </w:t>
      </w:r>
      <w:r w:rsidRPr="00790088">
        <w:rPr>
          <w:rFonts w:ascii="Bwgrki" w:hAnsi="Bwgrki" w:cs="Arial"/>
          <w:sz w:val="18"/>
          <w:szCs w:val="18"/>
        </w:rPr>
        <w:t>e</w:t>
      </w:r>
      <w:r w:rsidR="003D5BDC" w:rsidRPr="00790088">
        <w:rPr>
          <w:rFonts w:ascii="Bwgrki" w:hAnsi="Bwgrki" w:cs="Arial"/>
          <w:sz w:val="18"/>
          <w:szCs w:val="18"/>
        </w:rPr>
        <w:t>[</w:t>
      </w:r>
      <w:proofErr w:type="spellStart"/>
      <w:r w:rsidRPr="00790088">
        <w:rPr>
          <w:rFonts w:ascii="Bwgrki" w:hAnsi="Bwgrki" w:cs="Arial"/>
          <w:sz w:val="18"/>
          <w:szCs w:val="18"/>
        </w:rPr>
        <w:t>nthj</w:t>
      </w:r>
      <w:proofErr w:type="spellEnd"/>
      <w:r w:rsidRPr="007766FC">
        <w:rPr>
          <w:rFonts w:ascii="Arial" w:hAnsi="Arial" w:cs="Arial"/>
          <w:sz w:val="18"/>
          <w:szCs w:val="18"/>
        </w:rPr>
        <w:t xml:space="preserve">, cf. Hesychius </w:t>
      </w:r>
      <w:proofErr w:type="spellStart"/>
      <w:r w:rsidRPr="00790088">
        <w:rPr>
          <w:rFonts w:ascii="Bwgrki" w:hAnsi="Bwgrki" w:cs="Arial"/>
          <w:sz w:val="18"/>
          <w:szCs w:val="18"/>
        </w:rPr>
        <w:t>sune</w:t>
      </w:r>
      <w:r w:rsidR="003D5BDC" w:rsidRPr="00790088">
        <w:rPr>
          <w:rFonts w:ascii="Bwgrki" w:hAnsi="Bwgrki" w:cs="Arial"/>
          <w:sz w:val="18"/>
          <w:szCs w:val="18"/>
        </w:rPr>
        <w:t>,</w:t>
      </w:r>
      <w:r w:rsidRPr="00790088">
        <w:rPr>
          <w:rFonts w:ascii="Bwgrki" w:hAnsi="Bwgrki" w:cs="Arial"/>
          <w:sz w:val="18"/>
          <w:szCs w:val="18"/>
        </w:rPr>
        <w:t>nthj</w:t>
      </w:r>
      <w:proofErr w:type="spellEnd"/>
      <w:r w:rsidRPr="00790088">
        <w:rPr>
          <w:rFonts w:ascii="Bwgrki" w:hAnsi="Bwgrki" w:cs="Arial"/>
          <w:sz w:val="18"/>
          <w:szCs w:val="18"/>
        </w:rPr>
        <w:t xml:space="preserve"> </w:t>
      </w:r>
      <w:proofErr w:type="spellStart"/>
      <w:r w:rsidRPr="00790088">
        <w:rPr>
          <w:rFonts w:ascii="Bwgrki" w:hAnsi="Bwgrki" w:cs="Arial"/>
          <w:sz w:val="18"/>
          <w:szCs w:val="18"/>
        </w:rPr>
        <w:t>sunergo,j</w:t>
      </w:r>
      <w:proofErr w:type="spellEnd"/>
      <w:r w:rsidR="003D5BDC" w:rsidRPr="007766FC">
        <w:rPr>
          <w:rFonts w:ascii="Arial" w:hAnsi="Arial" w:cs="Arial"/>
          <w:sz w:val="18"/>
          <w:szCs w:val="18"/>
        </w:rPr>
        <w:t>; cf. Lobeck, Technol., p. 121]</w:t>
      </w:r>
      <w:r w:rsidRPr="007766FC">
        <w:rPr>
          <w:rFonts w:ascii="Arial" w:hAnsi="Arial" w:cs="Arial"/>
          <w:sz w:val="18"/>
          <w:szCs w:val="18"/>
        </w:rPr>
        <w:t xml:space="preserve">; hence, a. according to earlier usage, </w:t>
      </w:r>
      <w:r w:rsidRPr="007766FC">
        <w:rPr>
          <w:rFonts w:ascii="Arial" w:hAnsi="Arial" w:cs="Arial"/>
          <w:i/>
          <w:sz w:val="18"/>
          <w:szCs w:val="18"/>
        </w:rPr>
        <w:t>one who with his own hand kills either others or himself.</w:t>
      </w:r>
      <w:r w:rsidRPr="007766FC">
        <w:rPr>
          <w:rFonts w:ascii="Arial" w:hAnsi="Arial" w:cs="Arial"/>
          <w:sz w:val="18"/>
          <w:szCs w:val="18"/>
        </w:rPr>
        <w:t xml:space="preserve"> b. in later Greek writings </w:t>
      </w:r>
      <w:r w:rsidRPr="007766FC">
        <w:rPr>
          <w:rFonts w:ascii="Arial" w:hAnsi="Arial" w:cs="Arial"/>
          <w:i/>
          <w:sz w:val="18"/>
          <w:szCs w:val="18"/>
        </w:rPr>
        <w:t xml:space="preserve">one who does a thing </w:t>
      </w:r>
      <w:r w:rsidR="003D5BDC" w:rsidRPr="007766FC">
        <w:rPr>
          <w:rFonts w:ascii="Arial" w:hAnsi="Arial" w:cs="Arial"/>
          <w:i/>
          <w:sz w:val="18"/>
          <w:szCs w:val="18"/>
        </w:rPr>
        <w:t>himself,</w:t>
      </w:r>
      <w:r w:rsidRPr="007766FC">
        <w:rPr>
          <w:rFonts w:ascii="Arial" w:hAnsi="Arial" w:cs="Arial"/>
          <w:i/>
          <w:sz w:val="18"/>
          <w:szCs w:val="18"/>
        </w:rPr>
        <w:t xml:space="preserve"> the author</w:t>
      </w:r>
      <w:r w:rsidR="003D5BDC" w:rsidRPr="007766FC">
        <w:rPr>
          <w:rFonts w:ascii="Arial" w:hAnsi="Arial" w:cs="Arial"/>
          <w:sz w:val="18"/>
          <w:szCs w:val="18"/>
        </w:rPr>
        <w:t xml:space="preserve"> [</w:t>
      </w:r>
      <w:r w:rsidRPr="00790088">
        <w:rPr>
          <w:rFonts w:ascii="Bwgrki" w:hAnsi="Bwgrki" w:cs="Arial"/>
          <w:sz w:val="18"/>
          <w:szCs w:val="18"/>
        </w:rPr>
        <w:t xml:space="preserve">th/j </w:t>
      </w:r>
      <w:proofErr w:type="spellStart"/>
      <w:r w:rsidRPr="00790088">
        <w:rPr>
          <w:rFonts w:ascii="Bwgrki" w:hAnsi="Bwgrki" w:cs="Arial"/>
          <w:sz w:val="18"/>
          <w:szCs w:val="18"/>
        </w:rPr>
        <w:t>pra,xewj</w:t>
      </w:r>
      <w:proofErr w:type="spellEnd"/>
      <w:r w:rsidRPr="007766FC">
        <w:rPr>
          <w:rFonts w:ascii="Arial" w:hAnsi="Arial" w:cs="Arial"/>
          <w:sz w:val="18"/>
          <w:szCs w:val="18"/>
        </w:rPr>
        <w:t>, Polybius 23, 14, 2, etc.</w:t>
      </w:r>
      <w:r w:rsidR="003D5BDC" w:rsidRPr="007766FC">
        <w:rPr>
          <w:rFonts w:ascii="Arial" w:hAnsi="Arial" w:cs="Arial"/>
          <w:sz w:val="18"/>
          <w:szCs w:val="18"/>
        </w:rPr>
        <w:t>]</w:t>
      </w:r>
      <w:r w:rsidRPr="007766FC">
        <w:rPr>
          <w:rFonts w:ascii="Arial" w:hAnsi="Arial" w:cs="Arial"/>
          <w:sz w:val="18"/>
          <w:szCs w:val="18"/>
        </w:rPr>
        <w:t xml:space="preserve">; </w:t>
      </w:r>
      <w:r w:rsidRPr="007766FC">
        <w:rPr>
          <w:rFonts w:ascii="Arial" w:hAnsi="Arial" w:cs="Arial"/>
          <w:i/>
          <w:sz w:val="18"/>
          <w:szCs w:val="18"/>
        </w:rPr>
        <w:t>one who acts on his own authority</w:t>
      </w:r>
      <w:r w:rsidRPr="007766FC">
        <w:rPr>
          <w:rFonts w:ascii="Arial" w:hAnsi="Arial" w:cs="Arial"/>
          <w:sz w:val="18"/>
          <w:szCs w:val="18"/>
        </w:rPr>
        <w:t xml:space="preserve">, </w:t>
      </w:r>
      <w:r w:rsidRPr="007766FC">
        <w:rPr>
          <w:rFonts w:ascii="Arial" w:hAnsi="Arial" w:cs="Arial"/>
          <w:i/>
          <w:sz w:val="18"/>
          <w:szCs w:val="18"/>
        </w:rPr>
        <w:t>autocratic</w:t>
      </w:r>
      <w:r w:rsidRPr="007766FC">
        <w:rPr>
          <w:rFonts w:ascii="Arial" w:hAnsi="Arial" w:cs="Arial"/>
          <w:sz w:val="18"/>
          <w:szCs w:val="18"/>
        </w:rPr>
        <w:t xml:space="preserve">, equivalent to </w:t>
      </w:r>
      <w:proofErr w:type="spellStart"/>
      <w:r w:rsidRPr="00790088">
        <w:rPr>
          <w:rFonts w:ascii="Bwgrki" w:hAnsi="Bwgrki" w:cs="Arial"/>
          <w:sz w:val="18"/>
          <w:szCs w:val="18"/>
        </w:rPr>
        <w:t>auvtokra,twr</w:t>
      </w:r>
      <w:proofErr w:type="spellEnd"/>
      <w:r w:rsidRPr="007766FC">
        <w:rPr>
          <w:rFonts w:ascii="Arial" w:hAnsi="Arial" w:cs="Arial"/>
          <w:sz w:val="18"/>
          <w:szCs w:val="18"/>
        </w:rPr>
        <w:t xml:space="preserve"> an absolute master</w:t>
      </w:r>
      <w:r w:rsidR="003D5BDC" w:rsidRPr="007766FC">
        <w:rPr>
          <w:rFonts w:ascii="Arial" w:hAnsi="Arial" w:cs="Arial"/>
          <w:sz w:val="18"/>
          <w:szCs w:val="18"/>
        </w:rPr>
        <w:t>; cf. Lobeck ad Phryn., p. 120 [</w:t>
      </w:r>
      <w:r w:rsidRPr="007766FC">
        <w:rPr>
          <w:rFonts w:ascii="Arial" w:hAnsi="Arial" w:cs="Arial"/>
          <w:sz w:val="18"/>
          <w:szCs w:val="18"/>
        </w:rPr>
        <w:t>also as above; cf</w:t>
      </w:r>
      <w:r w:rsidR="003D5BDC" w:rsidRPr="007766FC">
        <w:rPr>
          <w:rFonts w:ascii="Arial" w:hAnsi="Arial" w:cs="Arial"/>
          <w:sz w:val="18"/>
          <w:szCs w:val="18"/>
        </w:rPr>
        <w:t xml:space="preserve">. </w:t>
      </w:r>
      <w:r w:rsidR="003D5BDC" w:rsidRPr="00790088">
        <w:rPr>
          <w:rFonts w:ascii="Arial" w:hAnsi="Arial" w:cs="Arial"/>
          <w:i/>
          <w:iCs/>
          <w:sz w:val="18"/>
          <w:szCs w:val="18"/>
        </w:rPr>
        <w:t>Winer's Grammar</w:t>
      </w:r>
      <w:r w:rsidR="003D5BDC" w:rsidRPr="007766FC">
        <w:rPr>
          <w:rFonts w:ascii="Arial" w:hAnsi="Arial" w:cs="Arial"/>
          <w:sz w:val="18"/>
          <w:szCs w:val="18"/>
        </w:rPr>
        <w:t>, sec. 2, 1 c.]</w:t>
      </w:r>
      <w:r w:rsidRPr="007766FC">
        <w:rPr>
          <w:rFonts w:ascii="Arial" w:hAnsi="Arial" w:cs="Arial"/>
          <w:sz w:val="18"/>
          <w:szCs w:val="18"/>
        </w:rPr>
        <w:t xml:space="preserve">); </w:t>
      </w:r>
      <w:r w:rsidRPr="007766FC">
        <w:rPr>
          <w:rFonts w:ascii="Arial" w:hAnsi="Arial" w:cs="Arial"/>
          <w:i/>
          <w:sz w:val="18"/>
          <w:szCs w:val="18"/>
        </w:rPr>
        <w:t>to govern</w:t>
      </w:r>
      <w:r w:rsidRPr="007766FC">
        <w:rPr>
          <w:rFonts w:ascii="Arial" w:hAnsi="Arial" w:cs="Arial"/>
          <w:sz w:val="18"/>
          <w:szCs w:val="18"/>
        </w:rPr>
        <w:t xml:space="preserve"> one, </w:t>
      </w:r>
      <w:r w:rsidRPr="007766FC">
        <w:rPr>
          <w:rFonts w:ascii="Arial" w:hAnsi="Arial" w:cs="Arial"/>
          <w:i/>
          <w:sz w:val="18"/>
          <w:szCs w:val="18"/>
        </w:rPr>
        <w:t>exercise dominion</w:t>
      </w:r>
      <w:r w:rsidRPr="007766FC">
        <w:rPr>
          <w:rFonts w:ascii="Arial" w:hAnsi="Arial" w:cs="Arial"/>
          <w:sz w:val="18"/>
          <w:szCs w:val="18"/>
        </w:rPr>
        <w:t xml:space="preserve"> </w:t>
      </w:r>
      <w:r w:rsidRPr="007766FC">
        <w:rPr>
          <w:rFonts w:ascii="Arial" w:hAnsi="Arial" w:cs="Arial"/>
          <w:i/>
          <w:sz w:val="18"/>
          <w:szCs w:val="18"/>
        </w:rPr>
        <w:t>over</w:t>
      </w:r>
      <w:r w:rsidRPr="007766FC">
        <w:rPr>
          <w:rFonts w:ascii="Arial" w:hAnsi="Arial" w:cs="Arial"/>
          <w:sz w:val="18"/>
          <w:szCs w:val="18"/>
        </w:rPr>
        <w:t xml:space="preserve"> one: </w:t>
      </w:r>
      <w:proofErr w:type="spellStart"/>
      <w:r w:rsidRPr="00790088">
        <w:rPr>
          <w:rFonts w:ascii="Bwgrki" w:hAnsi="Bwgrki" w:cs="Arial"/>
          <w:sz w:val="18"/>
          <w:szCs w:val="18"/>
        </w:rPr>
        <w:t>tin</w:t>
      </w:r>
      <w:r w:rsidR="003D5BDC" w:rsidRPr="00790088">
        <w:rPr>
          <w:rFonts w:ascii="Bwgrki" w:hAnsi="Bwgrki" w:cs="Arial"/>
          <w:sz w:val="18"/>
          <w:szCs w:val="18"/>
        </w:rPr>
        <w:t>o,</w:t>
      </w:r>
      <w:r w:rsidRPr="00790088">
        <w:rPr>
          <w:rFonts w:ascii="Bwgrki" w:hAnsi="Bwgrki" w:cs="Arial"/>
          <w:sz w:val="18"/>
          <w:szCs w:val="18"/>
        </w:rPr>
        <w:t>j</w:t>
      </w:r>
      <w:proofErr w:type="spellEnd"/>
      <w:r w:rsidRPr="007766FC">
        <w:rPr>
          <w:rFonts w:ascii="Arial" w:hAnsi="Arial" w:cs="Arial"/>
          <w:sz w:val="18"/>
          <w:szCs w:val="18"/>
        </w:rPr>
        <w:t>, 1 Tim. 2:12.*”</w:t>
      </w:r>
      <w:r w:rsidR="00C61BBB" w:rsidRPr="007766FC">
        <w:rPr>
          <w:rFonts w:ascii="Arial" w:hAnsi="Arial" w:cs="Arial"/>
          <w:sz w:val="18"/>
          <w:szCs w:val="18"/>
        </w:rPr>
        <w:t xml:space="preserve">  Note that the negative </w:t>
      </w:r>
      <w:r w:rsidR="006C0387" w:rsidRPr="007766FC">
        <w:rPr>
          <w:rFonts w:ascii="Arial" w:hAnsi="Arial" w:cs="Arial"/>
          <w:sz w:val="18"/>
          <w:szCs w:val="18"/>
        </w:rPr>
        <w:t>sense applied only</w:t>
      </w:r>
      <w:r w:rsidR="00C61BBB" w:rsidRPr="007766FC">
        <w:rPr>
          <w:rFonts w:ascii="Arial" w:hAnsi="Arial" w:cs="Arial"/>
          <w:sz w:val="18"/>
          <w:szCs w:val="18"/>
        </w:rPr>
        <w:t xml:space="preserve"> before and after NT times </w:t>
      </w:r>
      <w:r w:rsidR="006C0387" w:rsidRPr="007766FC">
        <w:rPr>
          <w:rFonts w:ascii="Arial" w:hAnsi="Arial" w:cs="Arial"/>
          <w:sz w:val="18"/>
          <w:szCs w:val="18"/>
        </w:rPr>
        <w:t xml:space="preserve">while </w:t>
      </w:r>
      <w:r w:rsidR="00C61BBB" w:rsidRPr="007766FC">
        <w:rPr>
          <w:rFonts w:ascii="Arial" w:hAnsi="Arial" w:cs="Arial"/>
          <w:sz w:val="18"/>
          <w:szCs w:val="18"/>
        </w:rPr>
        <w:t xml:space="preserve">the first century </w:t>
      </w:r>
      <w:r w:rsidR="006C0387" w:rsidRPr="007766FC">
        <w:rPr>
          <w:rFonts w:ascii="Arial" w:hAnsi="Arial" w:cs="Arial"/>
          <w:sz w:val="18"/>
          <w:szCs w:val="18"/>
        </w:rPr>
        <w:t xml:space="preserve">sense </w:t>
      </w:r>
      <w:r w:rsidR="00C61BBB" w:rsidRPr="007766FC">
        <w:rPr>
          <w:rFonts w:ascii="Arial" w:hAnsi="Arial" w:cs="Arial"/>
          <w:sz w:val="18"/>
          <w:szCs w:val="18"/>
        </w:rPr>
        <w:t>was ne</w:t>
      </w:r>
      <w:r w:rsidR="006C0387" w:rsidRPr="007766FC">
        <w:rPr>
          <w:rFonts w:ascii="Arial" w:hAnsi="Arial" w:cs="Arial"/>
          <w:sz w:val="18"/>
          <w:szCs w:val="18"/>
        </w:rPr>
        <w:t xml:space="preserve">utral: </w:t>
      </w:r>
      <w:r w:rsidR="006C0387" w:rsidRPr="007766FC">
        <w:rPr>
          <w:rFonts w:ascii="Arial" w:hAnsi="Arial" w:cs="Arial"/>
          <w:i/>
          <w:sz w:val="18"/>
          <w:szCs w:val="18"/>
        </w:rPr>
        <w:t>to govern</w:t>
      </w:r>
      <w:r w:rsidR="006C0387" w:rsidRPr="007766FC">
        <w:rPr>
          <w:rFonts w:ascii="Arial" w:hAnsi="Arial" w:cs="Arial"/>
          <w:sz w:val="18"/>
          <w:szCs w:val="18"/>
        </w:rPr>
        <w:t xml:space="preserve"> or </w:t>
      </w:r>
      <w:r w:rsidR="006C0387" w:rsidRPr="007766FC">
        <w:rPr>
          <w:rFonts w:ascii="Arial" w:hAnsi="Arial" w:cs="Arial"/>
          <w:i/>
          <w:sz w:val="18"/>
          <w:szCs w:val="18"/>
        </w:rPr>
        <w:t>exercise dominion</w:t>
      </w:r>
      <w:r w:rsidR="006C0387" w:rsidRPr="007766FC">
        <w:rPr>
          <w:rFonts w:ascii="Arial" w:hAnsi="Arial" w:cs="Arial"/>
          <w:sz w:val="18"/>
          <w:szCs w:val="18"/>
        </w:rPr>
        <w:t xml:space="preserve"> </w:t>
      </w:r>
      <w:r w:rsidR="006C0387" w:rsidRPr="007766FC">
        <w:rPr>
          <w:rFonts w:ascii="Arial" w:hAnsi="Arial" w:cs="Arial"/>
          <w:i/>
          <w:sz w:val="18"/>
          <w:szCs w:val="18"/>
        </w:rPr>
        <w:t>over.</w:t>
      </w:r>
    </w:p>
  </w:footnote>
  <w:footnote w:id="2">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H. Scott Baldwin, “A Difficult Word,” in </w:t>
      </w:r>
      <w:r w:rsidRPr="007766FC">
        <w:rPr>
          <w:rFonts w:ascii="Arial" w:hAnsi="Arial" w:cs="Arial"/>
          <w:i/>
          <w:sz w:val="18"/>
          <w:szCs w:val="18"/>
        </w:rPr>
        <w:t>Women in the Church: A Fresh Analysis of 1 Timothy 2:9-15</w:t>
      </w:r>
      <w:r w:rsidRPr="007766FC">
        <w:rPr>
          <w:rFonts w:ascii="Arial" w:hAnsi="Arial" w:cs="Arial"/>
          <w:sz w:val="18"/>
          <w:szCs w:val="18"/>
        </w:rPr>
        <w:t>, eds. Andreas J. Kostenberger, Thomas R. Schreiner, and H. Scott Baldwin [Grand Rapids: Baker, 1995], 75.</w:t>
      </w:r>
    </w:p>
  </w:footnote>
  <w:footnote w:id="3">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Andrew C. Perriman, “What Eve Did, What Women Shouldn’t Do: The Meaning of </w:t>
      </w:r>
      <w:r w:rsidRPr="00B9585D">
        <w:rPr>
          <w:rFonts w:ascii="Bwgrki" w:hAnsi="Bwgrki" w:cs="Arial"/>
          <w:sz w:val="18"/>
          <w:szCs w:val="18"/>
        </w:rPr>
        <w:t>AUQENTEW</w:t>
      </w:r>
      <w:r w:rsidRPr="007766FC">
        <w:rPr>
          <w:rFonts w:ascii="Arial" w:hAnsi="Arial" w:cs="Arial"/>
          <w:sz w:val="18"/>
          <w:szCs w:val="18"/>
        </w:rPr>
        <w:t xml:space="preserve"> in 1 Timothy 2:12,” </w:t>
      </w:r>
      <w:r w:rsidRPr="007766FC">
        <w:rPr>
          <w:rFonts w:ascii="Arial" w:hAnsi="Arial" w:cs="Arial"/>
          <w:i/>
          <w:sz w:val="18"/>
          <w:szCs w:val="18"/>
        </w:rPr>
        <w:t>Tyndale Bulleti</w:t>
      </w:r>
      <w:r w:rsidRPr="007766FC">
        <w:rPr>
          <w:rFonts w:ascii="Arial" w:eastAsia="SimSun" w:hAnsi="Arial" w:cs="Arial"/>
          <w:i/>
          <w:sz w:val="18"/>
          <w:szCs w:val="18"/>
          <w:lang w:eastAsia="zh-CN"/>
        </w:rPr>
        <w:t>n</w:t>
      </w:r>
      <w:r w:rsidRPr="007766FC">
        <w:rPr>
          <w:rFonts w:ascii="Arial" w:eastAsia="SimSun" w:hAnsi="Arial" w:cs="Arial"/>
          <w:sz w:val="18"/>
          <w:szCs w:val="18"/>
          <w:lang w:eastAsia="zh-CN"/>
        </w:rPr>
        <w:t xml:space="preserve"> 44 </w:t>
      </w:r>
      <w:r w:rsidRPr="007766FC">
        <w:rPr>
          <w:rFonts w:ascii="Arial" w:hAnsi="Arial" w:cs="Arial"/>
          <w:sz w:val="18"/>
          <w:szCs w:val="18"/>
        </w:rPr>
        <w:t xml:space="preserve">(1993): 135; Richard and Catherine Kroeger, </w:t>
      </w:r>
      <w:r w:rsidRPr="007766FC">
        <w:rPr>
          <w:rFonts w:ascii="Arial" w:hAnsi="Arial" w:cs="Arial"/>
          <w:i/>
          <w:sz w:val="18"/>
          <w:szCs w:val="18"/>
        </w:rPr>
        <w:t>I Suffer Not a Woman; Rethinking 1 Timothy 2:11-15 in Light of Ancient Evidence</w:t>
      </w:r>
      <w:r w:rsidRPr="007766FC">
        <w:rPr>
          <w:rFonts w:ascii="Arial" w:hAnsi="Arial" w:cs="Arial"/>
          <w:sz w:val="18"/>
          <w:szCs w:val="18"/>
        </w:rPr>
        <w:t xml:space="preserve"> (Grand Rapids: Baker, 1992), 84; Alva </w:t>
      </w:r>
      <w:proofErr w:type="spellStart"/>
      <w:r w:rsidRPr="007766FC">
        <w:rPr>
          <w:rFonts w:ascii="Arial" w:hAnsi="Arial" w:cs="Arial"/>
          <w:sz w:val="18"/>
          <w:szCs w:val="18"/>
        </w:rPr>
        <w:t>Mickelsen</w:t>
      </w:r>
      <w:proofErr w:type="spellEnd"/>
      <w:r w:rsidRPr="007766FC">
        <w:rPr>
          <w:rFonts w:ascii="Arial" w:hAnsi="Arial" w:cs="Arial"/>
          <w:sz w:val="18"/>
          <w:szCs w:val="18"/>
        </w:rPr>
        <w:t xml:space="preserve">, “An Egalitarian View: There is Neither Male Nor Female in Christ,” in </w:t>
      </w:r>
      <w:r w:rsidRPr="007766FC">
        <w:rPr>
          <w:rFonts w:ascii="Arial" w:hAnsi="Arial" w:cs="Arial"/>
          <w:i/>
          <w:sz w:val="18"/>
          <w:szCs w:val="18"/>
        </w:rPr>
        <w:t>Women in Ministry: Four Views</w:t>
      </w:r>
      <w:r w:rsidRPr="007766FC">
        <w:rPr>
          <w:rFonts w:ascii="Arial" w:hAnsi="Arial" w:cs="Arial"/>
          <w:sz w:val="18"/>
          <w:szCs w:val="18"/>
        </w:rPr>
        <w:t>, ed</w:t>
      </w:r>
      <w:r w:rsidR="00B9585D">
        <w:rPr>
          <w:rFonts w:ascii="Arial" w:hAnsi="Arial" w:cs="Arial"/>
          <w:sz w:val="18"/>
          <w:szCs w:val="18"/>
        </w:rPr>
        <w:t>s</w:t>
      </w:r>
      <w:r w:rsidRPr="007766FC">
        <w:rPr>
          <w:rFonts w:ascii="Arial" w:hAnsi="Arial" w:cs="Arial"/>
          <w:sz w:val="18"/>
          <w:szCs w:val="18"/>
        </w:rPr>
        <w:t xml:space="preserve">. B. Clouse and R. G. Clouse (Downers Grove: IVP, 1989), 202; David M. Scholer, “1 Timothy 2:9-15 and the Place of Women in the Church’s Ministry,” </w:t>
      </w:r>
      <w:r w:rsidRPr="007766FC">
        <w:rPr>
          <w:rFonts w:ascii="Arial" w:hAnsi="Arial" w:cs="Arial"/>
          <w:i/>
          <w:sz w:val="18"/>
          <w:szCs w:val="18"/>
        </w:rPr>
        <w:t>Women, Authority, and the Bible</w:t>
      </w:r>
      <w:r w:rsidRPr="007766FC">
        <w:rPr>
          <w:rFonts w:ascii="Arial" w:hAnsi="Arial" w:cs="Arial"/>
          <w:sz w:val="18"/>
          <w:szCs w:val="18"/>
        </w:rPr>
        <w:t xml:space="preserve"> (Downers Grove: IVP, 1986), 205; Philip H. Towner, </w:t>
      </w:r>
      <w:r w:rsidRPr="007766FC">
        <w:rPr>
          <w:rFonts w:ascii="Arial" w:hAnsi="Arial" w:cs="Arial"/>
          <w:i/>
          <w:sz w:val="18"/>
          <w:szCs w:val="18"/>
        </w:rPr>
        <w:t>The Goal of Our Instruction</w:t>
      </w:r>
      <w:r w:rsidRPr="007766FC">
        <w:rPr>
          <w:rFonts w:ascii="Arial" w:hAnsi="Arial" w:cs="Arial"/>
          <w:sz w:val="18"/>
          <w:szCs w:val="18"/>
        </w:rPr>
        <w:t xml:space="preserve"> (</w:t>
      </w:r>
      <w:proofErr w:type="spellStart"/>
      <w:r w:rsidRPr="007766FC">
        <w:rPr>
          <w:rFonts w:ascii="Arial" w:hAnsi="Arial" w:cs="Arial"/>
          <w:sz w:val="18"/>
          <w:szCs w:val="18"/>
        </w:rPr>
        <w:t>JSNTSup</w:t>
      </w:r>
      <w:proofErr w:type="spellEnd"/>
      <w:r w:rsidRPr="007766FC">
        <w:rPr>
          <w:rFonts w:ascii="Arial" w:hAnsi="Arial" w:cs="Arial"/>
          <w:sz w:val="18"/>
          <w:szCs w:val="18"/>
        </w:rPr>
        <w:t xml:space="preserve"> 34; Sheffield: JSOT Press, 1989), 216; Ben Wiebe, “Two Texts on Women (1 Tim 2:11-15; Gal 3:26-29): A Test of Interpretation,” </w:t>
      </w:r>
      <w:r w:rsidRPr="007766FC">
        <w:rPr>
          <w:rFonts w:ascii="Arial" w:hAnsi="Arial" w:cs="Arial"/>
          <w:i/>
          <w:sz w:val="18"/>
          <w:szCs w:val="18"/>
        </w:rPr>
        <w:t>Horizons in Biblical Thinking</w:t>
      </w:r>
      <w:r w:rsidRPr="007766FC">
        <w:rPr>
          <w:rFonts w:ascii="Arial" w:hAnsi="Arial" w:cs="Arial"/>
          <w:sz w:val="18"/>
          <w:szCs w:val="18"/>
        </w:rPr>
        <w:t xml:space="preserve"> 16 (1994): 59-60; all cited by Thomas Schreiner, “A Dialogue with Scholarship,” in </w:t>
      </w:r>
      <w:r w:rsidRPr="007766FC">
        <w:rPr>
          <w:rFonts w:ascii="Arial" w:hAnsi="Arial" w:cs="Arial"/>
          <w:i/>
          <w:sz w:val="18"/>
          <w:szCs w:val="18"/>
        </w:rPr>
        <w:t>Women in the Church</w:t>
      </w:r>
      <w:r w:rsidRPr="007766FC">
        <w:rPr>
          <w:rFonts w:ascii="Arial" w:hAnsi="Arial" w:cs="Arial"/>
          <w:sz w:val="18"/>
          <w:szCs w:val="18"/>
        </w:rPr>
        <w:t>, 132, n. 120.</w:t>
      </w:r>
    </w:p>
  </w:footnote>
  <w:footnote w:id="4">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Schreiner, 132.</w:t>
      </w:r>
    </w:p>
  </w:footnote>
  <w:footnote w:id="5">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Baldwin, 79.</w:t>
      </w:r>
    </w:p>
  </w:footnote>
  <w:footnote w:id="6">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Despite the above evidence, some still favor the negative sense of “domineer”: Gordon D. Fee, </w:t>
      </w:r>
      <w:r w:rsidRPr="007766FC">
        <w:rPr>
          <w:rFonts w:ascii="Arial" w:hAnsi="Arial" w:cs="Arial"/>
          <w:i/>
          <w:sz w:val="18"/>
          <w:szCs w:val="18"/>
        </w:rPr>
        <w:t>1 &amp; 2 Timothy, Titus</w:t>
      </w:r>
      <w:r w:rsidRPr="007766FC">
        <w:rPr>
          <w:rFonts w:ascii="Arial" w:hAnsi="Arial" w:cs="Arial"/>
          <w:sz w:val="18"/>
          <w:szCs w:val="18"/>
        </w:rPr>
        <w:t xml:space="preserve">, NIBC (Peabody, Mass.: Hendricksen, 1988), 73; Timothy J. Harris, “Why Did Paul Mention Eve’s Deception?  A Critique of P. W. Barnett’s Interpretation of 1 Timothy 2” </w:t>
      </w:r>
      <w:r w:rsidRPr="007766FC">
        <w:rPr>
          <w:rFonts w:ascii="Arial" w:hAnsi="Arial" w:cs="Arial"/>
          <w:i/>
          <w:sz w:val="18"/>
          <w:szCs w:val="18"/>
        </w:rPr>
        <w:t>Evangelical Quarterly</w:t>
      </w:r>
      <w:r w:rsidRPr="007766FC">
        <w:rPr>
          <w:rFonts w:ascii="Arial" w:hAnsi="Arial" w:cs="Arial"/>
          <w:sz w:val="18"/>
          <w:szCs w:val="18"/>
        </w:rPr>
        <w:t xml:space="preserve"> 62 (1990): 342; Craig S. Keener, </w:t>
      </w:r>
      <w:r w:rsidRPr="007766FC">
        <w:rPr>
          <w:rFonts w:ascii="Arial" w:hAnsi="Arial" w:cs="Arial"/>
          <w:i/>
          <w:sz w:val="18"/>
          <w:szCs w:val="18"/>
        </w:rPr>
        <w:t>Paul, Women, and Wives: Marriage and Women’s Ministry in the Letters of Paul</w:t>
      </w:r>
      <w:r w:rsidRPr="007766FC">
        <w:rPr>
          <w:rFonts w:ascii="Arial" w:hAnsi="Arial" w:cs="Arial"/>
          <w:sz w:val="18"/>
          <w:szCs w:val="18"/>
        </w:rPr>
        <w:t xml:space="preserve"> (Peabody, Mass.: Hendricksen, 1992), 109; Carroll D. </w:t>
      </w:r>
      <w:proofErr w:type="spellStart"/>
      <w:r w:rsidRPr="007766FC">
        <w:rPr>
          <w:rFonts w:ascii="Arial" w:hAnsi="Arial" w:cs="Arial"/>
          <w:sz w:val="18"/>
          <w:szCs w:val="18"/>
        </w:rPr>
        <w:t>Osburn</w:t>
      </w:r>
      <w:proofErr w:type="spellEnd"/>
      <w:r w:rsidRPr="007766FC">
        <w:rPr>
          <w:rFonts w:ascii="Arial" w:hAnsi="Arial" w:cs="Arial"/>
          <w:sz w:val="18"/>
          <w:szCs w:val="18"/>
        </w:rPr>
        <w:t>, “</w:t>
      </w:r>
      <w:r w:rsidRPr="00B9585D">
        <w:rPr>
          <w:rFonts w:ascii="Bwgrki" w:hAnsi="Bwgrki" w:cs="Arial"/>
          <w:sz w:val="18"/>
          <w:szCs w:val="18"/>
        </w:rPr>
        <w:t>AUQENTEW</w:t>
      </w:r>
      <w:r w:rsidRPr="007766FC">
        <w:rPr>
          <w:rFonts w:ascii="Arial" w:hAnsi="Arial" w:cs="Arial"/>
          <w:sz w:val="18"/>
          <w:szCs w:val="18"/>
        </w:rPr>
        <w:t xml:space="preserve"> (1 Timothy 2:12),” </w:t>
      </w:r>
      <w:r w:rsidRPr="007766FC">
        <w:rPr>
          <w:rFonts w:ascii="Arial" w:hAnsi="Arial" w:cs="Arial"/>
          <w:i/>
          <w:sz w:val="18"/>
          <w:szCs w:val="18"/>
        </w:rPr>
        <w:t>Restoration Quarterly</w:t>
      </w:r>
      <w:r w:rsidRPr="007766FC">
        <w:rPr>
          <w:rFonts w:ascii="Arial" w:hAnsi="Arial" w:cs="Arial"/>
          <w:sz w:val="18"/>
          <w:szCs w:val="18"/>
        </w:rPr>
        <w:t xml:space="preserve"> 25 (1982): 1-12; Philip B. Payne, “Libertarian Women in Ephesus: A Response to Douglas J. Moo’s Article, ‘1 Timothy 2:11-15: Meaning and Significance,’” </w:t>
      </w:r>
      <w:r w:rsidRPr="007766FC">
        <w:rPr>
          <w:rFonts w:ascii="Arial" w:hAnsi="Arial" w:cs="Arial"/>
          <w:i/>
          <w:sz w:val="18"/>
          <w:szCs w:val="18"/>
        </w:rPr>
        <w:t>Trinity Journal</w:t>
      </w:r>
      <w:r w:rsidRPr="007766FC">
        <w:rPr>
          <w:rFonts w:ascii="Arial" w:hAnsi="Arial" w:cs="Arial"/>
          <w:sz w:val="18"/>
          <w:szCs w:val="18"/>
        </w:rPr>
        <w:t xml:space="preserve"> 2 </w:t>
      </w:r>
      <w:proofErr w:type="spellStart"/>
      <w:r w:rsidRPr="007766FC">
        <w:rPr>
          <w:rFonts w:ascii="Arial" w:hAnsi="Arial" w:cs="Arial"/>
          <w:sz w:val="18"/>
          <w:szCs w:val="18"/>
        </w:rPr>
        <w:t>n.s</w:t>
      </w:r>
      <w:proofErr w:type="spellEnd"/>
      <w:r w:rsidRPr="007766FC">
        <w:rPr>
          <w:rFonts w:ascii="Arial" w:hAnsi="Arial" w:cs="Arial"/>
          <w:sz w:val="18"/>
          <w:szCs w:val="18"/>
        </w:rPr>
        <w:t xml:space="preserve">. (1981): 175; Towner, </w:t>
      </w:r>
      <w:r w:rsidRPr="007766FC">
        <w:rPr>
          <w:rFonts w:ascii="Arial" w:hAnsi="Arial" w:cs="Arial"/>
          <w:i/>
          <w:sz w:val="18"/>
          <w:szCs w:val="18"/>
        </w:rPr>
        <w:t>Goal of Our Instruction</w:t>
      </w:r>
      <w:r w:rsidRPr="007766FC">
        <w:rPr>
          <w:rFonts w:ascii="Arial" w:hAnsi="Arial" w:cs="Arial"/>
          <w:sz w:val="18"/>
          <w:szCs w:val="18"/>
        </w:rPr>
        <w:t xml:space="preserve">, 215-16; Ben Witherington, </w:t>
      </w:r>
      <w:r w:rsidRPr="007766FC">
        <w:rPr>
          <w:rFonts w:ascii="Arial" w:hAnsi="Arial" w:cs="Arial"/>
          <w:i/>
          <w:sz w:val="18"/>
          <w:szCs w:val="18"/>
        </w:rPr>
        <w:t>Women and the Genesis of Christianity</w:t>
      </w:r>
      <w:r w:rsidRPr="007766FC">
        <w:rPr>
          <w:rFonts w:ascii="Arial" w:hAnsi="Arial" w:cs="Arial"/>
          <w:sz w:val="18"/>
          <w:szCs w:val="18"/>
        </w:rPr>
        <w:t xml:space="preserve"> (Cambridge: Cambridge Univ. Press, 1990), 121-22; Clarence </w:t>
      </w:r>
      <w:proofErr w:type="spellStart"/>
      <w:r w:rsidRPr="007766FC">
        <w:rPr>
          <w:rFonts w:ascii="Arial" w:hAnsi="Arial" w:cs="Arial"/>
          <w:sz w:val="18"/>
          <w:szCs w:val="18"/>
        </w:rPr>
        <w:t>Boomsma</w:t>
      </w:r>
      <w:proofErr w:type="spellEnd"/>
      <w:r w:rsidRPr="007766FC">
        <w:rPr>
          <w:rFonts w:ascii="Arial" w:hAnsi="Arial" w:cs="Arial"/>
          <w:sz w:val="18"/>
          <w:szCs w:val="18"/>
        </w:rPr>
        <w:t xml:space="preserve">, </w:t>
      </w:r>
      <w:r w:rsidRPr="007766FC">
        <w:rPr>
          <w:rFonts w:ascii="Arial" w:hAnsi="Arial" w:cs="Arial"/>
          <w:i/>
          <w:sz w:val="18"/>
          <w:szCs w:val="18"/>
        </w:rPr>
        <w:t>Male and Female, One in Christ: New Testament Teaching on Women in Office</w:t>
      </w:r>
      <w:r w:rsidRPr="007766FC">
        <w:rPr>
          <w:rFonts w:ascii="Arial" w:hAnsi="Arial" w:cs="Arial"/>
          <w:sz w:val="18"/>
          <w:szCs w:val="18"/>
        </w:rPr>
        <w:t xml:space="preserve"> (Grand Rapids: Baker, 1993), 71-72; Steve Motyer, “Expounding 1 Timothy 2:8-15,” </w:t>
      </w:r>
      <w:r w:rsidRPr="007766FC">
        <w:rPr>
          <w:rFonts w:ascii="Arial" w:hAnsi="Arial" w:cs="Arial"/>
          <w:i/>
          <w:sz w:val="18"/>
          <w:szCs w:val="18"/>
        </w:rPr>
        <w:t>Vox Evangelica</w:t>
      </w:r>
      <w:r w:rsidRPr="007766FC">
        <w:rPr>
          <w:rFonts w:ascii="Arial" w:hAnsi="Arial" w:cs="Arial"/>
          <w:sz w:val="18"/>
          <w:szCs w:val="18"/>
        </w:rPr>
        <w:t xml:space="preserve"> 24 (1994): 95-96; all cited by Schreiner, 133.</w:t>
      </w:r>
    </w:p>
  </w:footnote>
  <w:footnote w:id="7">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Philip B. Payne, “</w:t>
      </w:r>
      <w:proofErr w:type="spellStart"/>
      <w:r w:rsidRPr="00B9585D">
        <w:rPr>
          <w:rFonts w:ascii="Bwgrki" w:hAnsi="Bwgrki" w:cs="Arial"/>
          <w:color w:val="000000"/>
          <w:sz w:val="18"/>
          <w:szCs w:val="13"/>
        </w:rPr>
        <w:t>Ouvde</w:t>
      </w:r>
      <w:proofErr w:type="spellEnd"/>
      <w:r w:rsidRPr="007766FC">
        <w:rPr>
          <w:rFonts w:ascii="Arial" w:hAnsi="Arial" w:cs="Arial"/>
          <w:color w:val="000000"/>
          <w:sz w:val="22"/>
          <w:szCs w:val="18"/>
        </w:rPr>
        <w:t xml:space="preserve">, </w:t>
      </w:r>
      <w:r w:rsidRPr="007766FC">
        <w:rPr>
          <w:rFonts w:ascii="Arial" w:hAnsi="Arial" w:cs="Arial"/>
          <w:sz w:val="18"/>
          <w:szCs w:val="18"/>
        </w:rPr>
        <w:t xml:space="preserve">in 1 Timothy 2:12,” paper presented at the 1988 meeting of the Evangelical Theological Society, 104-8; </w:t>
      </w:r>
      <w:proofErr w:type="spellStart"/>
      <w:r w:rsidRPr="007766FC">
        <w:rPr>
          <w:rFonts w:ascii="Arial" w:hAnsi="Arial" w:cs="Arial"/>
          <w:sz w:val="18"/>
          <w:szCs w:val="18"/>
        </w:rPr>
        <w:t>Boomsma</w:t>
      </w:r>
      <w:proofErr w:type="spellEnd"/>
      <w:r w:rsidRPr="007766FC">
        <w:rPr>
          <w:rFonts w:ascii="Arial" w:hAnsi="Arial" w:cs="Arial"/>
          <w:sz w:val="18"/>
          <w:szCs w:val="18"/>
        </w:rPr>
        <w:t>, 72-73; Motyer, 96; all cited by Schreiner, 133.  Kostenberger, 82-84 critiques Payne.</w:t>
      </w:r>
    </w:p>
  </w:footnote>
  <w:footnote w:id="8">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Schreiner, 133.</w:t>
      </w:r>
    </w:p>
  </w:footnote>
  <w:footnote w:id="9">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w:t>
      </w:r>
      <w:proofErr w:type="spellStart"/>
      <w:r w:rsidRPr="007766FC">
        <w:rPr>
          <w:rFonts w:ascii="Arial" w:hAnsi="Arial" w:cs="Arial"/>
          <w:sz w:val="18"/>
          <w:szCs w:val="18"/>
        </w:rPr>
        <w:t>Kroegers</w:t>
      </w:r>
      <w:proofErr w:type="spellEnd"/>
      <w:r w:rsidRPr="007766FC">
        <w:rPr>
          <w:rFonts w:ascii="Arial" w:hAnsi="Arial" w:cs="Arial"/>
          <w:sz w:val="18"/>
          <w:szCs w:val="18"/>
        </w:rPr>
        <w:t xml:space="preserve">, 93, emphasis mine (cited by S. M. Baugh, “A Foreign World: Ephesus in the First Century,” in </w:t>
      </w:r>
      <w:r w:rsidRPr="007766FC">
        <w:rPr>
          <w:rFonts w:ascii="Arial" w:hAnsi="Arial" w:cs="Arial"/>
          <w:i/>
          <w:sz w:val="18"/>
          <w:szCs w:val="18"/>
        </w:rPr>
        <w:t>Women in the Church</w:t>
      </w:r>
      <w:r w:rsidRPr="007766FC">
        <w:rPr>
          <w:rFonts w:ascii="Arial" w:hAnsi="Arial" w:cs="Arial"/>
          <w:sz w:val="18"/>
          <w:szCs w:val="18"/>
        </w:rPr>
        <w:t>, 15).</w:t>
      </w:r>
    </w:p>
  </w:footnote>
  <w:footnote w:id="10">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“There were a number of primary magistrates and civic groups at Ephesus.  No women are known to have filled these magistracies at Ephesus in the first century” (Baugh, 18).</w:t>
      </w:r>
    </w:p>
  </w:footnote>
  <w:footnote w:id="11">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If a supposed feminine supremacy in religions in Ephesus was true, “We would expect to find either priestesses or other women controlling the resources of the [cult of Artemis] and appointments to its offices.  Instead, Ephesian religious affairs were governed by the Roman and municipal authorities who were decidedly male” (Baugh, 24).</w:t>
      </w:r>
    </w:p>
  </w:footnote>
  <w:footnote w:id="12">
    <w:p w:rsidR="00AD17EF" w:rsidRPr="007766FC" w:rsidRDefault="00AD17EF" w:rsidP="00AD17EF">
      <w:pPr>
        <w:pStyle w:val="FootnoteText"/>
        <w:ind w:firstLine="450"/>
        <w:rPr>
          <w:rFonts w:ascii="Arial" w:hAnsi="Arial" w:cs="Arial"/>
          <w:sz w:val="18"/>
          <w:szCs w:val="18"/>
        </w:rPr>
      </w:pPr>
      <w:r w:rsidRPr="007766FC">
        <w:rPr>
          <w:rStyle w:val="FootnoteReference"/>
          <w:rFonts w:ascii="Arial" w:hAnsi="Arial" w:cs="Arial"/>
          <w:sz w:val="18"/>
          <w:szCs w:val="18"/>
        </w:rPr>
        <w:footnoteRef/>
      </w:r>
      <w:r w:rsidRPr="007766FC">
        <w:rPr>
          <w:rFonts w:ascii="Arial" w:hAnsi="Arial" w:cs="Arial"/>
          <w:sz w:val="18"/>
          <w:szCs w:val="18"/>
        </w:rPr>
        <w:t xml:space="preserve"> This verse states, “But women will be saved through childbearing—if they continue in faith, love, and holiness with propriety” (2:15).  Either “saved” has a [less-used] meaning of “preserved” or, if it refers to spiritual salvation, the verse is an appropriate response to false teachers at Ephesus who d</w:t>
      </w:r>
      <w:r w:rsidR="00C27EEE" w:rsidRPr="007766FC">
        <w:rPr>
          <w:rFonts w:ascii="Arial" w:hAnsi="Arial" w:cs="Arial"/>
          <w:sz w:val="18"/>
          <w:szCs w:val="18"/>
        </w:rPr>
        <w:t>enigrated marriage (1 Tim. 4:3)</w:t>
      </w:r>
      <w:r w:rsidRPr="007766FC">
        <w:rPr>
          <w:rFonts w:ascii="Arial" w:hAnsi="Arial" w:cs="Arial"/>
          <w:sz w:val="18"/>
          <w:szCs w:val="18"/>
        </w:rPr>
        <w:t xml:space="preserve"> and childbearing.  Adhering to this God-given role of childbearing still will not save, so Paul adds character qualities that show real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7EF" w:rsidRPr="00512B50" w:rsidRDefault="00AD17EF">
    <w:pPr>
      <w:pStyle w:val="Header"/>
      <w:tabs>
        <w:tab w:val="clear" w:pos="4800"/>
        <w:tab w:val="clear" w:pos="9660"/>
        <w:tab w:val="center" w:pos="4950"/>
        <w:tab w:val="right" w:pos="9540"/>
      </w:tabs>
      <w:ind w:right="-10"/>
      <w:jc w:val="left"/>
      <w:rPr>
        <w:rFonts w:ascii="Arial" w:hAnsi="Arial" w:cs="Arial"/>
        <w:i/>
        <w:iCs/>
        <w:sz w:val="21"/>
        <w:szCs w:val="16"/>
        <w:u w:val="single"/>
      </w:rPr>
    </w:pPr>
    <w:r w:rsidRPr="00512B50">
      <w:rPr>
        <w:rFonts w:ascii="Arial" w:hAnsi="Arial" w:cs="Arial"/>
        <w:i/>
        <w:iCs/>
        <w:sz w:val="21"/>
        <w:szCs w:val="16"/>
        <w:u w:val="single"/>
      </w:rPr>
      <w:t xml:space="preserve">Rick Griffith, </w:t>
    </w:r>
    <w:r w:rsidRPr="00512B50">
      <w:rPr>
        <w:rFonts w:ascii="Arial" w:hAnsi="Arial" w:cs="Arial"/>
        <w:i/>
        <w:iCs/>
        <w:sz w:val="15"/>
        <w:szCs w:val="16"/>
        <w:u w:val="single"/>
      </w:rPr>
      <w:t>PhD</w:t>
    </w:r>
    <w:r w:rsidRPr="00512B50">
      <w:rPr>
        <w:rFonts w:ascii="Arial" w:hAnsi="Arial" w:cs="Arial"/>
        <w:i/>
        <w:iCs/>
        <w:sz w:val="21"/>
        <w:szCs w:val="16"/>
        <w:u w:val="single"/>
      </w:rPr>
      <w:tab/>
      <w:t>New Testament Survey: 1 Timothy</w:t>
    </w:r>
    <w:r w:rsidRPr="00512B50">
      <w:rPr>
        <w:rFonts w:ascii="Arial" w:hAnsi="Arial" w:cs="Arial"/>
        <w:i/>
        <w:iCs/>
        <w:sz w:val="21"/>
        <w:szCs w:val="16"/>
        <w:u w:val="single"/>
      </w:rPr>
      <w:tab/>
    </w:r>
    <w:r w:rsidRPr="00512B50">
      <w:rPr>
        <w:rStyle w:val="PageNumber"/>
        <w:rFonts w:ascii="Arial" w:hAnsi="Arial" w:cs="Arial"/>
        <w:i/>
        <w:iCs/>
        <w:sz w:val="21"/>
        <w:szCs w:val="16"/>
        <w:u w:val="single"/>
      </w:rPr>
      <w:t>222</w:t>
    </w:r>
    <w:r w:rsidRPr="00512B50">
      <w:rPr>
        <w:rStyle w:val="PageNumber"/>
        <w:rFonts w:ascii="Arial" w:hAnsi="Arial" w:cs="Arial"/>
        <w:i/>
        <w:iCs/>
        <w:sz w:val="21"/>
        <w:szCs w:val="16"/>
        <w:u w:val="single"/>
      </w:rPr>
      <w:fldChar w:fldCharType="begin"/>
    </w:r>
    <w:r w:rsidRPr="00512B50">
      <w:rPr>
        <w:rStyle w:val="PageNumber"/>
        <w:rFonts w:ascii="Arial" w:hAnsi="Arial" w:cs="Arial"/>
        <w:i/>
        <w:iCs/>
        <w:sz w:val="21"/>
        <w:szCs w:val="16"/>
        <w:u w:val="single"/>
      </w:rPr>
      <w:instrText xml:space="preserve"> PAGE </w:instrText>
    </w:r>
    <w:r w:rsidRPr="00512B50">
      <w:rPr>
        <w:rStyle w:val="PageNumber"/>
        <w:rFonts w:ascii="Arial" w:hAnsi="Arial" w:cs="Arial"/>
        <w:i/>
        <w:iCs/>
        <w:sz w:val="21"/>
        <w:szCs w:val="16"/>
        <w:u w:val="single"/>
      </w:rPr>
      <w:fldChar w:fldCharType="separate"/>
    </w:r>
    <w:r w:rsidR="001F47D6" w:rsidRPr="00512B50">
      <w:rPr>
        <w:rStyle w:val="PageNumber"/>
        <w:rFonts w:ascii="Arial" w:hAnsi="Arial" w:cs="Arial"/>
        <w:i/>
        <w:iCs/>
        <w:noProof/>
        <w:sz w:val="21"/>
        <w:szCs w:val="16"/>
        <w:u w:val="single"/>
      </w:rPr>
      <w:t>h</w:t>
    </w:r>
    <w:r w:rsidRPr="00512B50">
      <w:rPr>
        <w:rStyle w:val="PageNumber"/>
        <w:rFonts w:ascii="Arial" w:hAnsi="Arial" w:cs="Arial"/>
        <w:i/>
        <w:iCs/>
        <w:sz w:val="21"/>
        <w:szCs w:val="16"/>
        <w:u w:val="single"/>
      </w:rPr>
      <w:fldChar w:fldCharType="end"/>
    </w:r>
  </w:p>
  <w:p w:rsidR="00AD17EF" w:rsidRPr="00512B50" w:rsidRDefault="00AD17EF">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C8F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396E6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0320CA"/>
    <w:rsid w:val="00087347"/>
    <w:rsid w:val="000C38DE"/>
    <w:rsid w:val="001B78DA"/>
    <w:rsid w:val="001F47D6"/>
    <w:rsid w:val="00202606"/>
    <w:rsid w:val="0039506A"/>
    <w:rsid w:val="003D5BDC"/>
    <w:rsid w:val="00407887"/>
    <w:rsid w:val="004A7A31"/>
    <w:rsid w:val="004D13CE"/>
    <w:rsid w:val="00507D1A"/>
    <w:rsid w:val="00512B50"/>
    <w:rsid w:val="00543F57"/>
    <w:rsid w:val="00575726"/>
    <w:rsid w:val="005F107F"/>
    <w:rsid w:val="006C0387"/>
    <w:rsid w:val="007766FC"/>
    <w:rsid w:val="00790088"/>
    <w:rsid w:val="00877020"/>
    <w:rsid w:val="00891A50"/>
    <w:rsid w:val="008A2F61"/>
    <w:rsid w:val="009730E0"/>
    <w:rsid w:val="00A91900"/>
    <w:rsid w:val="00AD17EF"/>
    <w:rsid w:val="00B22B7A"/>
    <w:rsid w:val="00B67C72"/>
    <w:rsid w:val="00B9585D"/>
    <w:rsid w:val="00C27EEE"/>
    <w:rsid w:val="00C61BBB"/>
    <w:rsid w:val="00D47F37"/>
    <w:rsid w:val="00DD7B13"/>
    <w:rsid w:val="00E500D0"/>
    <w:rsid w:val="00E944AF"/>
    <w:rsid w:val="00EE54D1"/>
  </w:rsids>
  <m:mathPr>
    <m:mathFont m:val="Cambria Math"/>
    <m:brkBin m:val="before"/>
    <m:brkBinSub m:val="--"/>
    <m:smallFrac m:val="0"/>
    <m:dispDef m:val="0"/>
    <m:lMargin m:val="0"/>
    <m:rMargin m:val="0"/>
    <m:defJc m:val="centerGroup"/>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5223F"/>
  <w14:defaultImageDpi w14:val="300"/>
  <w15:chartTrackingRefBased/>
  <w15:docId w15:val="{CDA5DF19-80CB-044A-AD96-1E77BF94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SG"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Clas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Mac%20HD:Applications:Microsoft%20Office%202004:Templates:My%20Templates:Class%20Supplement.dot</Template>
  <TotalTime>1</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2020-06-21T14:49:00Z</cp:lastPrinted>
  <dcterms:created xsi:type="dcterms:W3CDTF">2020-06-21T14:52:00Z</dcterms:created>
  <dcterms:modified xsi:type="dcterms:W3CDTF">2020-06-21T14:52:00Z</dcterms:modified>
</cp:coreProperties>
</file>