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FD1B" w14:textId="77777777" w:rsidR="00F1499B" w:rsidRPr="003972C1" w:rsidRDefault="00F1499B" w:rsidP="00F1499B">
      <w:pPr>
        <w:tabs>
          <w:tab w:val="left" w:pos="7960"/>
        </w:tabs>
        <w:ind w:right="-70"/>
        <w:jc w:val="center"/>
        <w:outlineLvl w:val="0"/>
        <w:rPr>
          <w:rFonts w:ascii="Arial" w:hAnsi="Arial" w:cs="Arial"/>
          <w:b/>
          <w:sz w:val="22"/>
          <w:szCs w:val="16"/>
        </w:rPr>
      </w:pPr>
      <w:r w:rsidRPr="003972C1">
        <w:rPr>
          <w:rFonts w:ascii="Arial" w:hAnsi="Arial" w:cs="Arial"/>
          <w:b/>
          <w:sz w:val="28"/>
          <w:szCs w:val="16"/>
        </w:rPr>
        <w:t>Views on Lordship Salvation</w:t>
      </w:r>
    </w:p>
    <w:p w14:paraId="08EFDF49" w14:textId="77777777" w:rsidR="00F1499B" w:rsidRPr="003972C1" w:rsidRDefault="00F1499B" w:rsidP="00F1499B">
      <w:pPr>
        <w:tabs>
          <w:tab w:val="left" w:pos="7960"/>
        </w:tabs>
        <w:ind w:left="1660" w:right="-988" w:hanging="1660"/>
        <w:rPr>
          <w:rFonts w:ascii="Arial" w:hAnsi="Arial" w:cs="Arial"/>
          <w:sz w:val="6"/>
          <w:szCs w:val="16"/>
        </w:rPr>
      </w:pPr>
    </w:p>
    <w:p w14:paraId="7555AB43" w14:textId="77777777" w:rsidR="00F1499B" w:rsidRPr="003972C1" w:rsidRDefault="00F1499B" w:rsidP="00F1499B">
      <w:pPr>
        <w:tabs>
          <w:tab w:val="left" w:pos="7960"/>
        </w:tabs>
        <w:ind w:right="-70"/>
        <w:rPr>
          <w:rFonts w:ascii="Arial" w:hAnsi="Arial" w:cs="Arial"/>
          <w:sz w:val="21"/>
          <w:szCs w:val="16"/>
        </w:rPr>
      </w:pPr>
      <w:r w:rsidRPr="003972C1">
        <w:rPr>
          <w:rFonts w:ascii="Arial" w:hAnsi="Arial" w:cs="Arial"/>
          <w:sz w:val="21"/>
          <w:szCs w:val="16"/>
        </w:rPr>
        <w:t>Must Christ be Lord to be Savior?  Does salvation require a person to submit to Christ as master along with being the substitute for sin?  Those who teach "Lordship salvation" answer "yes" but carefully note that they do not teach salvation by works or even faith plus works.  Others disagree.</w:t>
      </w:r>
      <w:r w:rsidRPr="003972C1">
        <w:rPr>
          <w:rStyle w:val="EndnoteReference"/>
          <w:rFonts w:ascii="Arial" w:hAnsi="Arial" w:cs="Arial"/>
          <w:sz w:val="21"/>
          <w:szCs w:val="16"/>
        </w:rPr>
        <w:endnoteReference w:id="1"/>
      </w:r>
    </w:p>
    <w:p w14:paraId="72982EEF" w14:textId="77777777" w:rsidR="00F1499B" w:rsidRPr="003972C1" w:rsidRDefault="00F1499B">
      <w:pPr>
        <w:tabs>
          <w:tab w:val="left" w:pos="7960"/>
        </w:tabs>
        <w:ind w:left="360" w:right="20" w:hanging="360"/>
        <w:rPr>
          <w:rFonts w:ascii="Arial" w:hAnsi="Arial" w:cs="Arial"/>
          <w:sz w:val="10"/>
          <w:szCs w:val="16"/>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2387"/>
        <w:gridCol w:w="2713"/>
      </w:tblGrid>
      <w:tr w:rsidR="00F1499B" w:rsidRPr="00F1499B" w14:paraId="20E67787" w14:textId="77777777" w:rsidTr="00F1499B">
        <w:tc>
          <w:tcPr>
            <w:tcW w:w="2268" w:type="dxa"/>
            <w:shd w:val="clear" w:color="auto" w:fill="000000"/>
          </w:tcPr>
          <w:p w14:paraId="534D81EE" w14:textId="77777777" w:rsidR="00F1499B" w:rsidRPr="00F1499B" w:rsidRDefault="00F1499B" w:rsidP="00F1499B">
            <w:pPr>
              <w:rPr>
                <w:rFonts w:ascii="Arial" w:hAnsi="Arial" w:cs="Arial"/>
                <w:b/>
                <w:i/>
                <w:color w:val="FFFFFF"/>
                <w:szCs w:val="16"/>
              </w:rPr>
            </w:pPr>
          </w:p>
        </w:tc>
        <w:tc>
          <w:tcPr>
            <w:tcW w:w="2700" w:type="dxa"/>
            <w:shd w:val="clear" w:color="auto" w:fill="000000"/>
          </w:tcPr>
          <w:p w14:paraId="5F7E7215" w14:textId="77777777" w:rsidR="00F1499B" w:rsidRPr="00F1499B" w:rsidRDefault="00F1499B" w:rsidP="00F1499B">
            <w:pPr>
              <w:rPr>
                <w:rFonts w:ascii="Arial" w:hAnsi="Arial" w:cs="Arial"/>
                <w:b/>
                <w:color w:val="FFFFFF"/>
                <w:szCs w:val="16"/>
              </w:rPr>
            </w:pPr>
            <w:r w:rsidRPr="00F1499B">
              <w:rPr>
                <w:rFonts w:ascii="Arial" w:hAnsi="Arial" w:cs="Arial"/>
                <w:b/>
                <w:color w:val="FFFFFF"/>
                <w:szCs w:val="16"/>
              </w:rPr>
              <w:t>Lordship</w:t>
            </w:r>
          </w:p>
        </w:tc>
        <w:tc>
          <w:tcPr>
            <w:tcW w:w="2387" w:type="dxa"/>
            <w:shd w:val="clear" w:color="auto" w:fill="000000"/>
          </w:tcPr>
          <w:p w14:paraId="10EB7BAE" w14:textId="77777777" w:rsidR="00F1499B" w:rsidRPr="00F1499B" w:rsidRDefault="00F1499B" w:rsidP="00F1499B">
            <w:pPr>
              <w:rPr>
                <w:rFonts w:ascii="Arial" w:hAnsi="Arial" w:cs="Arial"/>
                <w:b/>
                <w:color w:val="FFFFFF"/>
                <w:szCs w:val="16"/>
              </w:rPr>
            </w:pPr>
            <w:r w:rsidRPr="00F1499B">
              <w:rPr>
                <w:rFonts w:ascii="Arial" w:hAnsi="Arial" w:cs="Arial"/>
                <w:b/>
                <w:color w:val="FFFFFF"/>
                <w:szCs w:val="16"/>
              </w:rPr>
              <w:t>Mediating</w:t>
            </w:r>
          </w:p>
        </w:tc>
        <w:tc>
          <w:tcPr>
            <w:tcW w:w="2713" w:type="dxa"/>
            <w:shd w:val="clear" w:color="auto" w:fill="000000"/>
          </w:tcPr>
          <w:p w14:paraId="34F472D7" w14:textId="77777777" w:rsidR="00F1499B" w:rsidRPr="00F1499B" w:rsidRDefault="00F1499B" w:rsidP="00F1499B">
            <w:pPr>
              <w:ind w:right="-18"/>
              <w:rPr>
                <w:rFonts w:ascii="Arial" w:hAnsi="Arial" w:cs="Arial"/>
                <w:b/>
                <w:color w:val="FFFFFF"/>
                <w:szCs w:val="16"/>
              </w:rPr>
            </w:pPr>
            <w:r w:rsidRPr="00F1499B">
              <w:rPr>
                <w:rFonts w:ascii="Arial" w:hAnsi="Arial" w:cs="Arial"/>
                <w:b/>
                <w:color w:val="FFFFFF"/>
                <w:szCs w:val="16"/>
              </w:rPr>
              <w:t>Free Grace</w:t>
            </w:r>
          </w:p>
        </w:tc>
      </w:tr>
      <w:tr w:rsidR="00F1499B" w:rsidRPr="00F1499B" w14:paraId="16AD0091" w14:textId="77777777" w:rsidTr="00F1499B">
        <w:tc>
          <w:tcPr>
            <w:tcW w:w="2268" w:type="dxa"/>
            <w:shd w:val="clear" w:color="auto" w:fill="auto"/>
          </w:tcPr>
          <w:p w14:paraId="44842C37" w14:textId="77777777" w:rsidR="00F1499B" w:rsidRPr="00F1499B" w:rsidRDefault="00F1499B" w:rsidP="00F1499B">
            <w:pPr>
              <w:rPr>
                <w:rFonts w:ascii="Arial" w:hAnsi="Arial" w:cs="Arial"/>
                <w:i/>
                <w:sz w:val="21"/>
                <w:szCs w:val="16"/>
              </w:rPr>
            </w:pPr>
            <w:r w:rsidRPr="00F1499B">
              <w:rPr>
                <w:rFonts w:ascii="Arial" w:hAnsi="Arial" w:cs="Arial"/>
                <w:i/>
                <w:sz w:val="21"/>
                <w:szCs w:val="16"/>
              </w:rPr>
              <w:t>Key Advocate</w:t>
            </w:r>
          </w:p>
        </w:tc>
        <w:tc>
          <w:tcPr>
            <w:tcW w:w="2700" w:type="dxa"/>
            <w:shd w:val="clear" w:color="auto" w:fill="auto"/>
          </w:tcPr>
          <w:p w14:paraId="1DA12056" w14:textId="77777777" w:rsidR="00F1499B" w:rsidRPr="00F1499B" w:rsidRDefault="00F1499B" w:rsidP="00F1499B">
            <w:pPr>
              <w:rPr>
                <w:rFonts w:ascii="Arial" w:hAnsi="Arial" w:cs="Arial"/>
                <w:sz w:val="21"/>
                <w:szCs w:val="16"/>
              </w:rPr>
            </w:pPr>
            <w:r w:rsidRPr="00F1499B">
              <w:rPr>
                <w:rFonts w:ascii="Arial" w:hAnsi="Arial" w:cs="Arial"/>
                <w:sz w:val="21"/>
                <w:szCs w:val="16"/>
              </w:rPr>
              <w:t>John MacArthur</w:t>
            </w:r>
          </w:p>
        </w:tc>
        <w:tc>
          <w:tcPr>
            <w:tcW w:w="2387" w:type="dxa"/>
            <w:shd w:val="clear" w:color="auto" w:fill="auto"/>
          </w:tcPr>
          <w:p w14:paraId="49623B5D" w14:textId="77777777" w:rsidR="00F1499B" w:rsidRPr="00F1499B" w:rsidRDefault="00F1499B" w:rsidP="00F1499B">
            <w:pPr>
              <w:rPr>
                <w:rFonts w:ascii="Arial" w:hAnsi="Arial" w:cs="Arial"/>
                <w:sz w:val="21"/>
                <w:szCs w:val="16"/>
              </w:rPr>
            </w:pPr>
            <w:r w:rsidRPr="00F1499B">
              <w:rPr>
                <w:rFonts w:ascii="Arial" w:hAnsi="Arial" w:cs="Arial"/>
                <w:sz w:val="21"/>
                <w:szCs w:val="16"/>
              </w:rPr>
              <w:t>Charles Ryrie</w:t>
            </w:r>
          </w:p>
        </w:tc>
        <w:tc>
          <w:tcPr>
            <w:tcW w:w="2713" w:type="dxa"/>
            <w:shd w:val="clear" w:color="auto" w:fill="auto"/>
          </w:tcPr>
          <w:p w14:paraId="588C3A7F" w14:textId="77777777" w:rsidR="00F1499B" w:rsidRPr="00F1499B" w:rsidRDefault="00F1499B" w:rsidP="00F1499B">
            <w:pPr>
              <w:ind w:right="-18"/>
              <w:rPr>
                <w:rFonts w:ascii="Arial" w:hAnsi="Arial" w:cs="Arial"/>
                <w:sz w:val="21"/>
                <w:szCs w:val="16"/>
              </w:rPr>
            </w:pPr>
            <w:r w:rsidRPr="00F1499B">
              <w:rPr>
                <w:rFonts w:ascii="Arial" w:hAnsi="Arial" w:cs="Arial"/>
                <w:sz w:val="21"/>
                <w:szCs w:val="16"/>
              </w:rPr>
              <w:t>Zane Hodges</w:t>
            </w:r>
          </w:p>
        </w:tc>
      </w:tr>
      <w:tr w:rsidR="00F1499B" w:rsidRPr="00F1499B" w14:paraId="2FAD53BC" w14:textId="77777777" w:rsidTr="00F1499B">
        <w:tc>
          <w:tcPr>
            <w:tcW w:w="2268" w:type="dxa"/>
            <w:shd w:val="clear" w:color="auto" w:fill="auto"/>
          </w:tcPr>
          <w:p w14:paraId="05FB79C5" w14:textId="77777777" w:rsidR="00F1499B" w:rsidRPr="00F1499B" w:rsidRDefault="00F1499B" w:rsidP="00F1499B">
            <w:pPr>
              <w:rPr>
                <w:rFonts w:ascii="Arial" w:hAnsi="Arial" w:cs="Arial"/>
                <w:i/>
                <w:sz w:val="21"/>
                <w:szCs w:val="16"/>
              </w:rPr>
            </w:pPr>
            <w:r w:rsidRPr="00F1499B">
              <w:rPr>
                <w:rFonts w:ascii="Arial" w:hAnsi="Arial" w:cs="Arial"/>
                <w:i/>
                <w:sz w:val="21"/>
                <w:szCs w:val="16"/>
              </w:rPr>
              <w:t>Accept Christ as…</w:t>
            </w:r>
          </w:p>
        </w:tc>
        <w:tc>
          <w:tcPr>
            <w:tcW w:w="2700" w:type="dxa"/>
            <w:shd w:val="clear" w:color="auto" w:fill="auto"/>
          </w:tcPr>
          <w:p w14:paraId="1B7B2BCC" w14:textId="77777777" w:rsidR="00F1499B" w:rsidRPr="00F1499B" w:rsidRDefault="00F1499B" w:rsidP="00F1499B">
            <w:pPr>
              <w:rPr>
                <w:rFonts w:ascii="Arial" w:hAnsi="Arial" w:cs="Arial"/>
                <w:sz w:val="21"/>
                <w:szCs w:val="16"/>
              </w:rPr>
            </w:pPr>
            <w:r w:rsidRPr="00F1499B">
              <w:rPr>
                <w:rFonts w:ascii="Arial" w:hAnsi="Arial" w:cs="Arial"/>
                <w:sz w:val="21"/>
                <w:szCs w:val="16"/>
              </w:rPr>
              <w:t>Savior and Lord</w:t>
            </w:r>
          </w:p>
        </w:tc>
        <w:tc>
          <w:tcPr>
            <w:tcW w:w="2387" w:type="dxa"/>
            <w:shd w:val="clear" w:color="auto" w:fill="auto"/>
          </w:tcPr>
          <w:p w14:paraId="5F4BF18C" w14:textId="77777777" w:rsidR="00F1499B" w:rsidRPr="00F1499B" w:rsidRDefault="00F1499B" w:rsidP="00F1499B">
            <w:pPr>
              <w:rPr>
                <w:rFonts w:ascii="Arial" w:hAnsi="Arial" w:cs="Arial"/>
                <w:sz w:val="21"/>
                <w:szCs w:val="16"/>
              </w:rPr>
            </w:pPr>
            <w:r w:rsidRPr="00F1499B">
              <w:rPr>
                <w:rFonts w:ascii="Arial" w:hAnsi="Arial" w:cs="Arial"/>
                <w:sz w:val="21"/>
                <w:szCs w:val="16"/>
              </w:rPr>
              <w:t>Savior then Lord</w:t>
            </w:r>
          </w:p>
        </w:tc>
        <w:tc>
          <w:tcPr>
            <w:tcW w:w="2713" w:type="dxa"/>
            <w:shd w:val="clear" w:color="auto" w:fill="auto"/>
          </w:tcPr>
          <w:p w14:paraId="7F7E69C9" w14:textId="77777777" w:rsidR="00F1499B" w:rsidRPr="00F1499B" w:rsidRDefault="00F1499B" w:rsidP="00F1499B">
            <w:pPr>
              <w:ind w:right="-18"/>
              <w:rPr>
                <w:rFonts w:ascii="Arial" w:hAnsi="Arial" w:cs="Arial"/>
                <w:sz w:val="21"/>
                <w:szCs w:val="16"/>
              </w:rPr>
            </w:pPr>
            <w:r w:rsidRPr="00F1499B">
              <w:rPr>
                <w:rFonts w:ascii="Arial" w:hAnsi="Arial" w:cs="Arial"/>
                <w:sz w:val="21"/>
                <w:szCs w:val="16"/>
              </w:rPr>
              <w:t>Savior alone</w:t>
            </w:r>
          </w:p>
        </w:tc>
      </w:tr>
      <w:tr w:rsidR="00F1499B" w:rsidRPr="00F1499B" w14:paraId="214C1369" w14:textId="77777777" w:rsidTr="00F1499B">
        <w:tc>
          <w:tcPr>
            <w:tcW w:w="2268" w:type="dxa"/>
            <w:shd w:val="clear" w:color="auto" w:fill="auto"/>
          </w:tcPr>
          <w:p w14:paraId="2772159C" w14:textId="77777777" w:rsidR="00F1499B" w:rsidRPr="00F1499B" w:rsidRDefault="00F1499B" w:rsidP="00F1499B">
            <w:pPr>
              <w:rPr>
                <w:rFonts w:ascii="Arial" w:hAnsi="Arial" w:cs="Arial"/>
                <w:i/>
                <w:sz w:val="21"/>
                <w:szCs w:val="16"/>
              </w:rPr>
            </w:pPr>
            <w:r w:rsidRPr="00F1499B">
              <w:rPr>
                <w:rFonts w:ascii="Arial" w:hAnsi="Arial" w:cs="Arial"/>
                <w:i/>
                <w:sz w:val="21"/>
                <w:szCs w:val="16"/>
              </w:rPr>
              <w:t>Nature of saving faith: What kind of response is required to the truth of the gospel?</w:t>
            </w:r>
          </w:p>
        </w:tc>
        <w:tc>
          <w:tcPr>
            <w:tcW w:w="2700" w:type="dxa"/>
            <w:shd w:val="clear" w:color="auto" w:fill="auto"/>
          </w:tcPr>
          <w:p w14:paraId="5EB3D1FE" w14:textId="77777777" w:rsidR="00F1499B" w:rsidRPr="00F1499B" w:rsidRDefault="00F1499B" w:rsidP="00F1499B">
            <w:pPr>
              <w:rPr>
                <w:rFonts w:ascii="Arial" w:hAnsi="Arial" w:cs="Arial"/>
                <w:sz w:val="21"/>
                <w:szCs w:val="16"/>
              </w:rPr>
            </w:pPr>
            <w:r w:rsidRPr="00F1499B">
              <w:rPr>
                <w:rFonts w:ascii="Arial" w:hAnsi="Arial" w:cs="Arial"/>
                <w:b/>
                <w:sz w:val="21"/>
                <w:szCs w:val="16"/>
              </w:rPr>
              <w:t>Intellectual</w:t>
            </w:r>
            <w:r w:rsidRPr="00F1499B">
              <w:rPr>
                <w:rFonts w:ascii="Arial" w:hAnsi="Arial" w:cs="Arial"/>
                <w:sz w:val="21"/>
                <w:szCs w:val="16"/>
              </w:rPr>
              <w:t xml:space="preserve"> (understanding of truth), </w:t>
            </w:r>
            <w:r w:rsidRPr="00F1499B">
              <w:rPr>
                <w:rFonts w:ascii="Arial" w:hAnsi="Arial" w:cs="Arial"/>
                <w:b/>
                <w:sz w:val="21"/>
                <w:szCs w:val="16"/>
              </w:rPr>
              <w:t>emotional</w:t>
            </w:r>
            <w:r w:rsidRPr="00F1499B">
              <w:rPr>
                <w:rFonts w:ascii="Arial" w:hAnsi="Arial" w:cs="Arial"/>
                <w:sz w:val="21"/>
                <w:szCs w:val="16"/>
              </w:rPr>
              <w:t xml:space="preserve"> (conviction &amp; affirmation of truth), and </w:t>
            </w:r>
            <w:r w:rsidRPr="00F1499B">
              <w:rPr>
                <w:rFonts w:ascii="Arial" w:hAnsi="Arial" w:cs="Arial"/>
                <w:b/>
                <w:sz w:val="21"/>
                <w:szCs w:val="16"/>
              </w:rPr>
              <w:t>volitional</w:t>
            </w:r>
            <w:r w:rsidRPr="00F1499B">
              <w:rPr>
                <w:rFonts w:ascii="Arial" w:hAnsi="Arial" w:cs="Arial"/>
                <w:sz w:val="21"/>
                <w:szCs w:val="16"/>
              </w:rPr>
              <w:t xml:space="preserve"> (determination of the will to obey truth)</w:t>
            </w:r>
            <w:r w:rsidRPr="00F1499B">
              <w:rPr>
                <w:rStyle w:val="EndnoteReference"/>
                <w:rFonts w:ascii="Arial" w:hAnsi="Arial" w:cs="Arial"/>
                <w:sz w:val="21"/>
                <w:szCs w:val="16"/>
              </w:rPr>
              <w:endnoteReference w:id="2"/>
            </w:r>
          </w:p>
        </w:tc>
        <w:tc>
          <w:tcPr>
            <w:tcW w:w="2387" w:type="dxa"/>
            <w:shd w:val="clear" w:color="auto" w:fill="auto"/>
          </w:tcPr>
          <w:p w14:paraId="338BF2B0" w14:textId="77777777" w:rsidR="00F1499B" w:rsidRPr="00F1499B" w:rsidRDefault="00F1499B" w:rsidP="00F1499B">
            <w:pPr>
              <w:rPr>
                <w:rFonts w:ascii="Arial" w:hAnsi="Arial" w:cs="Arial"/>
                <w:sz w:val="21"/>
                <w:szCs w:val="16"/>
              </w:rPr>
            </w:pPr>
            <w:r w:rsidRPr="00F1499B">
              <w:rPr>
                <w:rFonts w:ascii="Arial" w:hAnsi="Arial" w:cs="Arial"/>
                <w:b/>
                <w:sz w:val="21"/>
                <w:szCs w:val="16"/>
              </w:rPr>
              <w:t>Intellectual</w:t>
            </w:r>
            <w:r w:rsidRPr="00F1499B">
              <w:rPr>
                <w:rFonts w:ascii="Arial" w:hAnsi="Arial" w:cs="Arial"/>
                <w:sz w:val="21"/>
                <w:szCs w:val="16"/>
              </w:rPr>
              <w:t xml:space="preserve"> and </w:t>
            </w:r>
            <w:r w:rsidRPr="00F1499B">
              <w:rPr>
                <w:rFonts w:ascii="Arial" w:hAnsi="Arial" w:cs="Arial"/>
                <w:b/>
                <w:sz w:val="21"/>
                <w:szCs w:val="16"/>
              </w:rPr>
              <w:t>volitional</w:t>
            </w:r>
            <w:r w:rsidRPr="00F1499B">
              <w:rPr>
                <w:rFonts w:ascii="Arial" w:hAnsi="Arial" w:cs="Arial"/>
                <w:sz w:val="21"/>
                <w:szCs w:val="16"/>
              </w:rPr>
              <w:t xml:space="preserve"> (“an act of the will to trust in the </w:t>
            </w:r>
            <w:r w:rsidRPr="00F1499B">
              <w:rPr>
                <w:rFonts w:ascii="Arial" w:hAnsi="Arial" w:cs="Arial"/>
                <w:i/>
                <w:sz w:val="21"/>
                <w:szCs w:val="16"/>
              </w:rPr>
              <w:t>truth</w:t>
            </w:r>
            <w:r w:rsidRPr="00F1499B">
              <w:rPr>
                <w:rFonts w:ascii="Arial" w:hAnsi="Arial" w:cs="Arial"/>
                <w:sz w:val="21"/>
                <w:szCs w:val="16"/>
              </w:rPr>
              <w:t xml:space="preserve"> which one has come to know” about Christ’s forgiveness and vicarious death)</w:t>
            </w:r>
            <w:r w:rsidRPr="00F1499B">
              <w:rPr>
                <w:rStyle w:val="EndnoteReference"/>
                <w:rFonts w:ascii="Arial" w:hAnsi="Arial" w:cs="Arial"/>
                <w:sz w:val="21"/>
                <w:szCs w:val="16"/>
              </w:rPr>
              <w:endnoteReference w:id="3"/>
            </w:r>
          </w:p>
        </w:tc>
        <w:tc>
          <w:tcPr>
            <w:tcW w:w="2713" w:type="dxa"/>
            <w:shd w:val="clear" w:color="auto" w:fill="auto"/>
          </w:tcPr>
          <w:p w14:paraId="1AEA159E" w14:textId="77777777" w:rsidR="00F1499B" w:rsidRPr="00F1499B" w:rsidRDefault="00F1499B" w:rsidP="00F1499B">
            <w:pPr>
              <w:ind w:right="-18"/>
              <w:rPr>
                <w:rFonts w:ascii="Arial" w:hAnsi="Arial" w:cs="Arial"/>
                <w:sz w:val="21"/>
                <w:szCs w:val="16"/>
              </w:rPr>
            </w:pPr>
            <w:r w:rsidRPr="00F1499B">
              <w:rPr>
                <w:rFonts w:ascii="Arial" w:hAnsi="Arial" w:cs="Arial"/>
                <w:sz w:val="21"/>
                <w:szCs w:val="16"/>
              </w:rPr>
              <w:t xml:space="preserve">A </w:t>
            </w:r>
            <w:r w:rsidRPr="00F1499B">
              <w:rPr>
                <w:rFonts w:ascii="Arial" w:hAnsi="Arial" w:cs="Arial"/>
                <w:b/>
                <w:sz w:val="21"/>
                <w:szCs w:val="16"/>
              </w:rPr>
              <w:t xml:space="preserve">conviction </w:t>
            </w:r>
            <w:r w:rsidRPr="00F1499B">
              <w:rPr>
                <w:rFonts w:ascii="Arial" w:hAnsi="Arial" w:cs="Arial"/>
                <w:sz w:val="21"/>
                <w:szCs w:val="16"/>
              </w:rPr>
              <w:t>that Jesus is the Christ who guarantees eternal life (John 11:25-27; cf. 20:30-31)</w:t>
            </w:r>
            <w:r w:rsidRPr="00F1499B">
              <w:rPr>
                <w:rStyle w:val="EndnoteReference"/>
                <w:rFonts w:ascii="Arial" w:hAnsi="Arial" w:cs="Arial"/>
                <w:sz w:val="21"/>
                <w:szCs w:val="16"/>
              </w:rPr>
              <w:endnoteReference w:id="4"/>
            </w:r>
          </w:p>
        </w:tc>
      </w:tr>
      <w:tr w:rsidR="00F1499B" w:rsidRPr="00F1499B" w14:paraId="4419C361" w14:textId="77777777" w:rsidTr="00F1499B">
        <w:tc>
          <w:tcPr>
            <w:tcW w:w="2268" w:type="dxa"/>
            <w:shd w:val="clear" w:color="auto" w:fill="auto"/>
          </w:tcPr>
          <w:p w14:paraId="7E9161C8" w14:textId="77777777" w:rsidR="00F1499B" w:rsidRPr="00F1499B" w:rsidRDefault="00F1499B" w:rsidP="00F1499B">
            <w:pPr>
              <w:rPr>
                <w:rFonts w:ascii="Arial" w:hAnsi="Arial" w:cs="Arial"/>
                <w:i/>
                <w:sz w:val="21"/>
                <w:szCs w:val="16"/>
              </w:rPr>
            </w:pPr>
            <w:r w:rsidRPr="00F1499B">
              <w:rPr>
                <w:rFonts w:ascii="Arial" w:hAnsi="Arial" w:cs="Arial"/>
                <w:i/>
                <w:sz w:val="21"/>
                <w:szCs w:val="16"/>
              </w:rPr>
              <w:t>Simplicity of faith</w:t>
            </w:r>
          </w:p>
        </w:tc>
        <w:tc>
          <w:tcPr>
            <w:tcW w:w="2700" w:type="dxa"/>
            <w:shd w:val="clear" w:color="auto" w:fill="auto"/>
          </w:tcPr>
          <w:p w14:paraId="2A61302A" w14:textId="77777777" w:rsidR="00F1499B" w:rsidRPr="00F1499B" w:rsidRDefault="00F1499B" w:rsidP="00F1499B">
            <w:pPr>
              <w:rPr>
                <w:rFonts w:ascii="Arial" w:hAnsi="Arial" w:cs="Arial"/>
                <w:sz w:val="21"/>
                <w:szCs w:val="16"/>
              </w:rPr>
            </w:pPr>
            <w:r w:rsidRPr="00F1499B">
              <w:rPr>
                <w:rFonts w:ascii="Arial" w:hAnsi="Arial" w:cs="Arial"/>
                <w:sz w:val="21"/>
                <w:szCs w:val="16"/>
              </w:rPr>
              <w:t>Authentic and insufficient faith are distinguished (e.g., counterfeit, temporary)</w:t>
            </w:r>
            <w:r w:rsidRPr="00F1499B">
              <w:rPr>
                <w:rStyle w:val="EndnoteReference"/>
                <w:rFonts w:ascii="Arial" w:hAnsi="Arial" w:cs="Arial"/>
                <w:sz w:val="21"/>
                <w:szCs w:val="16"/>
              </w:rPr>
              <w:endnoteReference w:id="5"/>
            </w:r>
          </w:p>
        </w:tc>
        <w:tc>
          <w:tcPr>
            <w:tcW w:w="2387" w:type="dxa"/>
            <w:shd w:val="clear" w:color="auto" w:fill="auto"/>
          </w:tcPr>
          <w:p w14:paraId="6D81947F" w14:textId="77777777" w:rsidR="00F1499B" w:rsidRPr="00F1499B" w:rsidRDefault="00F1499B" w:rsidP="00F1499B">
            <w:pPr>
              <w:rPr>
                <w:rFonts w:ascii="Arial" w:hAnsi="Arial" w:cs="Arial"/>
                <w:sz w:val="21"/>
                <w:szCs w:val="16"/>
              </w:rPr>
            </w:pPr>
            <w:r w:rsidRPr="00F1499B">
              <w:rPr>
                <w:rFonts w:ascii="Arial" w:hAnsi="Arial" w:cs="Arial"/>
                <w:sz w:val="21"/>
                <w:szCs w:val="16"/>
              </w:rPr>
              <w:t>Faith is simple without various “types” as in the Lordship view</w:t>
            </w:r>
          </w:p>
        </w:tc>
        <w:tc>
          <w:tcPr>
            <w:tcW w:w="2713" w:type="dxa"/>
            <w:shd w:val="clear" w:color="auto" w:fill="auto"/>
          </w:tcPr>
          <w:p w14:paraId="1F2AB2CA" w14:textId="77777777" w:rsidR="00F1499B" w:rsidRPr="00F1499B" w:rsidRDefault="00F1499B" w:rsidP="00F1499B">
            <w:pPr>
              <w:ind w:right="-18"/>
              <w:rPr>
                <w:rFonts w:ascii="Arial" w:hAnsi="Arial" w:cs="Arial"/>
                <w:sz w:val="21"/>
                <w:szCs w:val="16"/>
              </w:rPr>
            </w:pPr>
            <w:r w:rsidRPr="00F1499B">
              <w:rPr>
                <w:rFonts w:ascii="Arial" w:hAnsi="Arial" w:cs="Arial"/>
                <w:sz w:val="21"/>
                <w:szCs w:val="16"/>
              </w:rPr>
              <w:t>Faith is so simple it appropriates eternal life (1 John 5: 9-13)</w:t>
            </w:r>
            <w:r w:rsidRPr="00F1499B">
              <w:rPr>
                <w:rStyle w:val="EndnoteReference"/>
                <w:rFonts w:ascii="Arial" w:hAnsi="Arial" w:cs="Arial"/>
                <w:sz w:val="21"/>
                <w:szCs w:val="16"/>
              </w:rPr>
              <w:endnoteReference w:id="6"/>
            </w:r>
          </w:p>
        </w:tc>
      </w:tr>
      <w:tr w:rsidR="00F1499B" w:rsidRPr="00F1499B" w14:paraId="0796B813" w14:textId="77777777" w:rsidTr="00F1499B">
        <w:tc>
          <w:tcPr>
            <w:tcW w:w="2268" w:type="dxa"/>
            <w:shd w:val="clear" w:color="auto" w:fill="auto"/>
          </w:tcPr>
          <w:p w14:paraId="2B692B78" w14:textId="77777777" w:rsidR="00F1499B" w:rsidRPr="00F1499B" w:rsidRDefault="00F1499B" w:rsidP="00F1499B">
            <w:pPr>
              <w:rPr>
                <w:rFonts w:ascii="Arial" w:hAnsi="Arial" w:cs="Arial"/>
                <w:i/>
                <w:sz w:val="21"/>
                <w:szCs w:val="16"/>
              </w:rPr>
            </w:pPr>
            <w:r w:rsidRPr="00F1499B">
              <w:rPr>
                <w:rFonts w:ascii="Arial" w:hAnsi="Arial" w:cs="Arial"/>
                <w:i/>
                <w:sz w:val="21"/>
                <w:szCs w:val="16"/>
              </w:rPr>
              <w:t>Repentance</w:t>
            </w:r>
          </w:p>
        </w:tc>
        <w:tc>
          <w:tcPr>
            <w:tcW w:w="2700" w:type="dxa"/>
            <w:shd w:val="clear" w:color="auto" w:fill="auto"/>
          </w:tcPr>
          <w:p w14:paraId="7CB55C27" w14:textId="77777777" w:rsidR="00F1499B" w:rsidRPr="00F1499B" w:rsidRDefault="00F1499B" w:rsidP="00F1499B">
            <w:pPr>
              <w:rPr>
                <w:rFonts w:ascii="Arial" w:hAnsi="Arial" w:cs="Arial"/>
                <w:sz w:val="21"/>
                <w:szCs w:val="16"/>
              </w:rPr>
            </w:pPr>
            <w:r w:rsidRPr="00F1499B">
              <w:rPr>
                <w:rFonts w:ascii="Arial" w:hAnsi="Arial" w:cs="Arial"/>
                <w:sz w:val="21"/>
                <w:szCs w:val="16"/>
              </w:rPr>
              <w:t>Turning to God from sin (“change of heart and purpose”) to be saved</w:t>
            </w:r>
            <w:r w:rsidRPr="00F1499B">
              <w:rPr>
                <w:rStyle w:val="EndnoteReference"/>
                <w:rFonts w:ascii="Arial" w:hAnsi="Arial" w:cs="Arial"/>
                <w:sz w:val="21"/>
                <w:szCs w:val="16"/>
              </w:rPr>
              <w:endnoteReference w:id="7"/>
            </w:r>
          </w:p>
        </w:tc>
        <w:tc>
          <w:tcPr>
            <w:tcW w:w="2387" w:type="dxa"/>
            <w:shd w:val="clear" w:color="auto" w:fill="auto"/>
          </w:tcPr>
          <w:p w14:paraId="549D41E6" w14:textId="77777777" w:rsidR="00F1499B" w:rsidRPr="00F1499B" w:rsidRDefault="00F1499B" w:rsidP="00F1499B">
            <w:pPr>
              <w:rPr>
                <w:rFonts w:ascii="Arial" w:hAnsi="Arial" w:cs="Arial"/>
                <w:sz w:val="21"/>
                <w:szCs w:val="16"/>
              </w:rPr>
            </w:pPr>
            <w:r w:rsidRPr="00F1499B">
              <w:rPr>
                <w:rFonts w:ascii="Arial" w:hAnsi="Arial" w:cs="Arial"/>
                <w:sz w:val="21"/>
                <w:szCs w:val="16"/>
              </w:rPr>
              <w:t>A “change of mind” about Christ</w:t>
            </w:r>
            <w:r w:rsidRPr="00F1499B">
              <w:rPr>
                <w:rStyle w:val="EndnoteReference"/>
                <w:rFonts w:ascii="Arial" w:hAnsi="Arial" w:cs="Arial"/>
                <w:sz w:val="21"/>
                <w:szCs w:val="16"/>
              </w:rPr>
              <w:endnoteReference w:id="8"/>
            </w:r>
          </w:p>
        </w:tc>
        <w:tc>
          <w:tcPr>
            <w:tcW w:w="2713" w:type="dxa"/>
            <w:shd w:val="clear" w:color="auto" w:fill="auto"/>
          </w:tcPr>
          <w:p w14:paraId="2FF5E674" w14:textId="77777777" w:rsidR="00F1499B" w:rsidRPr="00F1499B" w:rsidRDefault="00F1499B" w:rsidP="00F1499B">
            <w:pPr>
              <w:ind w:right="-18"/>
              <w:rPr>
                <w:rFonts w:ascii="Arial" w:hAnsi="Arial" w:cs="Arial"/>
                <w:sz w:val="21"/>
                <w:szCs w:val="16"/>
              </w:rPr>
            </w:pPr>
            <w:r w:rsidRPr="00F1499B">
              <w:rPr>
                <w:rFonts w:ascii="Arial" w:hAnsi="Arial" w:cs="Arial"/>
                <w:sz w:val="21"/>
                <w:szCs w:val="16"/>
              </w:rPr>
              <w:t>It “</w:t>
            </w:r>
            <w:r w:rsidRPr="00F1499B">
              <w:rPr>
                <w:rFonts w:ascii="Arial" w:hAnsi="Arial" w:cs="Arial"/>
                <w:i/>
                <w:sz w:val="21"/>
                <w:szCs w:val="16"/>
              </w:rPr>
              <w:t>may</w:t>
            </w:r>
            <w:r w:rsidRPr="00F1499B">
              <w:rPr>
                <w:rFonts w:ascii="Arial" w:hAnsi="Arial" w:cs="Arial"/>
                <w:sz w:val="21"/>
                <w:szCs w:val="16"/>
              </w:rPr>
              <w:t xml:space="preserve"> precede salvation [but…] it </w:t>
            </w:r>
            <w:r w:rsidRPr="00F1499B">
              <w:rPr>
                <w:rFonts w:ascii="Arial" w:hAnsi="Arial" w:cs="Arial"/>
                <w:i/>
                <w:sz w:val="21"/>
                <w:szCs w:val="16"/>
              </w:rPr>
              <w:t>need not</w:t>
            </w:r>
            <w:r w:rsidRPr="00F1499B">
              <w:rPr>
                <w:rFonts w:ascii="Arial" w:hAnsi="Arial" w:cs="Arial"/>
                <w:sz w:val="21"/>
                <w:szCs w:val="16"/>
              </w:rPr>
              <w:t xml:space="preserve"> do so”</w:t>
            </w:r>
            <w:r w:rsidRPr="00F1499B">
              <w:rPr>
                <w:rStyle w:val="EndnoteReference"/>
                <w:rFonts w:ascii="Arial" w:hAnsi="Arial" w:cs="Arial"/>
                <w:sz w:val="21"/>
                <w:szCs w:val="16"/>
              </w:rPr>
              <w:endnoteReference w:id="9"/>
            </w:r>
            <w:r w:rsidRPr="00F1499B">
              <w:rPr>
                <w:rFonts w:ascii="Arial" w:hAnsi="Arial" w:cs="Arial"/>
                <w:sz w:val="21"/>
                <w:szCs w:val="16"/>
              </w:rPr>
              <w:t>; faith alone saves.</w:t>
            </w:r>
          </w:p>
        </w:tc>
      </w:tr>
      <w:tr w:rsidR="00F1499B" w:rsidRPr="00F1499B" w14:paraId="0C6ACFBD" w14:textId="77777777" w:rsidTr="00F1499B">
        <w:tc>
          <w:tcPr>
            <w:tcW w:w="2268" w:type="dxa"/>
            <w:shd w:val="clear" w:color="auto" w:fill="auto"/>
          </w:tcPr>
          <w:p w14:paraId="3C2072C4" w14:textId="77777777" w:rsidR="00F1499B" w:rsidRPr="00F1499B" w:rsidRDefault="00F1499B" w:rsidP="00F1499B">
            <w:pPr>
              <w:rPr>
                <w:rFonts w:ascii="Arial" w:hAnsi="Arial" w:cs="Arial"/>
                <w:i/>
                <w:sz w:val="21"/>
                <w:szCs w:val="16"/>
              </w:rPr>
            </w:pPr>
            <w:r w:rsidRPr="00F1499B">
              <w:rPr>
                <w:rFonts w:ascii="Arial" w:hAnsi="Arial" w:cs="Arial"/>
                <w:i/>
                <w:sz w:val="21"/>
                <w:szCs w:val="16"/>
              </w:rPr>
              <w:t>How saving faith and discipleship relate</w:t>
            </w:r>
          </w:p>
        </w:tc>
        <w:tc>
          <w:tcPr>
            <w:tcW w:w="2700" w:type="dxa"/>
            <w:shd w:val="clear" w:color="auto" w:fill="auto"/>
          </w:tcPr>
          <w:p w14:paraId="43DF9614" w14:textId="77777777" w:rsidR="00F1499B" w:rsidRPr="00F1499B" w:rsidRDefault="00F1499B" w:rsidP="00F1499B">
            <w:pPr>
              <w:rPr>
                <w:rFonts w:ascii="Arial" w:hAnsi="Arial" w:cs="Arial"/>
                <w:vanish/>
                <w:sz w:val="21"/>
                <w:szCs w:val="16"/>
              </w:rPr>
            </w:pPr>
            <w:r w:rsidRPr="00F1499B">
              <w:rPr>
                <w:rFonts w:ascii="Arial" w:hAnsi="Arial" w:cs="Arial"/>
                <w:sz w:val="21"/>
                <w:szCs w:val="16"/>
              </w:rPr>
              <w:t>The two should not be distinguished</w:t>
            </w:r>
            <w:r w:rsidRPr="00F1499B">
              <w:rPr>
                <w:rStyle w:val="EndnoteReference"/>
                <w:rFonts w:ascii="Arial" w:hAnsi="Arial" w:cs="Arial"/>
                <w:sz w:val="21"/>
                <w:szCs w:val="16"/>
              </w:rPr>
              <w:endnoteReference w:id="10"/>
            </w:r>
          </w:p>
        </w:tc>
        <w:tc>
          <w:tcPr>
            <w:tcW w:w="2387" w:type="dxa"/>
            <w:shd w:val="clear" w:color="auto" w:fill="auto"/>
          </w:tcPr>
          <w:p w14:paraId="738D650A" w14:textId="77777777" w:rsidR="00F1499B" w:rsidRPr="00F1499B" w:rsidRDefault="00F1499B" w:rsidP="00F1499B">
            <w:pPr>
              <w:rPr>
                <w:rFonts w:ascii="Arial" w:hAnsi="Arial" w:cs="Arial"/>
                <w:sz w:val="21"/>
                <w:szCs w:val="16"/>
              </w:rPr>
            </w:pPr>
            <w:r w:rsidRPr="00F1499B">
              <w:rPr>
                <w:rFonts w:ascii="Arial" w:hAnsi="Arial" w:cs="Arial"/>
                <w:sz w:val="21"/>
                <w:szCs w:val="16"/>
              </w:rPr>
              <w:t xml:space="preserve">Discipleship </w:t>
            </w:r>
            <w:r w:rsidRPr="00F1499B">
              <w:rPr>
                <w:rFonts w:ascii="Arial" w:hAnsi="Arial" w:cs="Arial"/>
                <w:i/>
                <w:sz w:val="21"/>
                <w:szCs w:val="16"/>
              </w:rPr>
              <w:t>must</w:t>
            </w:r>
            <w:r w:rsidRPr="00F1499B">
              <w:rPr>
                <w:rFonts w:ascii="Arial" w:hAnsi="Arial" w:cs="Arial"/>
                <w:sz w:val="21"/>
                <w:szCs w:val="16"/>
              </w:rPr>
              <w:t xml:space="preserve"> begin after salvation</w:t>
            </w:r>
          </w:p>
        </w:tc>
        <w:tc>
          <w:tcPr>
            <w:tcW w:w="2713" w:type="dxa"/>
            <w:shd w:val="clear" w:color="auto" w:fill="auto"/>
          </w:tcPr>
          <w:p w14:paraId="126A206E" w14:textId="77777777" w:rsidR="00F1499B" w:rsidRPr="00F1499B" w:rsidRDefault="00F1499B" w:rsidP="00F1499B">
            <w:pPr>
              <w:ind w:right="-18"/>
              <w:rPr>
                <w:rFonts w:ascii="Arial" w:hAnsi="Arial" w:cs="Arial"/>
                <w:sz w:val="21"/>
                <w:szCs w:val="16"/>
              </w:rPr>
            </w:pPr>
            <w:r w:rsidRPr="00F1499B">
              <w:rPr>
                <w:rFonts w:ascii="Arial" w:hAnsi="Arial" w:cs="Arial"/>
                <w:sz w:val="21"/>
                <w:szCs w:val="16"/>
              </w:rPr>
              <w:t xml:space="preserve">Discipleship </w:t>
            </w:r>
            <w:r w:rsidRPr="00F1499B">
              <w:rPr>
                <w:rFonts w:ascii="Arial" w:hAnsi="Arial" w:cs="Arial"/>
                <w:i/>
                <w:sz w:val="21"/>
                <w:szCs w:val="16"/>
              </w:rPr>
              <w:t>may</w:t>
            </w:r>
            <w:r w:rsidRPr="00F1499B">
              <w:rPr>
                <w:rFonts w:ascii="Arial" w:hAnsi="Arial" w:cs="Arial"/>
                <w:sz w:val="21"/>
                <w:szCs w:val="16"/>
              </w:rPr>
              <w:t xml:space="preserve"> begin after salvation</w:t>
            </w:r>
            <w:r w:rsidRPr="00F1499B">
              <w:rPr>
                <w:rStyle w:val="EndnoteReference"/>
                <w:rFonts w:ascii="Arial" w:hAnsi="Arial" w:cs="Arial"/>
                <w:sz w:val="21"/>
                <w:szCs w:val="16"/>
              </w:rPr>
              <w:endnoteReference w:id="11"/>
            </w:r>
            <w:r w:rsidRPr="00F1499B">
              <w:rPr>
                <w:rFonts w:ascii="Arial" w:hAnsi="Arial" w:cs="Arial"/>
                <w:sz w:val="21"/>
                <w:szCs w:val="16"/>
              </w:rPr>
              <w:t xml:space="preserve"> but lacking it affects rewards</w:t>
            </w:r>
          </w:p>
        </w:tc>
      </w:tr>
      <w:tr w:rsidR="00F1499B" w:rsidRPr="00F1499B" w14:paraId="4A93B535" w14:textId="77777777" w:rsidTr="00F1499B">
        <w:tc>
          <w:tcPr>
            <w:tcW w:w="2268" w:type="dxa"/>
            <w:shd w:val="clear" w:color="auto" w:fill="auto"/>
          </w:tcPr>
          <w:p w14:paraId="78B04CD7"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Post-salvation works</w:t>
            </w:r>
          </w:p>
        </w:tc>
        <w:tc>
          <w:tcPr>
            <w:tcW w:w="2700" w:type="dxa"/>
            <w:shd w:val="clear" w:color="auto" w:fill="auto"/>
          </w:tcPr>
          <w:p w14:paraId="1E80C360"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Demonstrate salvation</w:t>
            </w:r>
            <w:r w:rsidRPr="00F1499B">
              <w:rPr>
                <w:rStyle w:val="EndnoteReference"/>
                <w:rFonts w:ascii="Arial" w:hAnsi="Arial" w:cs="Arial"/>
                <w:sz w:val="21"/>
                <w:szCs w:val="16"/>
              </w:rPr>
              <w:endnoteReference w:id="12"/>
            </w:r>
          </w:p>
        </w:tc>
        <w:tc>
          <w:tcPr>
            <w:tcW w:w="2387" w:type="dxa"/>
            <w:shd w:val="clear" w:color="auto" w:fill="auto"/>
          </w:tcPr>
          <w:p w14:paraId="4CD409AC"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Demonstrate faith</w:t>
            </w:r>
          </w:p>
        </w:tc>
        <w:tc>
          <w:tcPr>
            <w:tcW w:w="2713" w:type="dxa"/>
            <w:shd w:val="clear" w:color="auto" w:fill="auto"/>
          </w:tcPr>
          <w:p w14:paraId="7D83F67B" w14:textId="77777777" w:rsidR="00F1499B" w:rsidRPr="00F1499B" w:rsidRDefault="00F1499B" w:rsidP="00F1499B">
            <w:pPr>
              <w:widowControl w:val="0"/>
              <w:ind w:right="-18"/>
              <w:rPr>
                <w:rFonts w:ascii="Arial" w:hAnsi="Arial" w:cs="Arial"/>
                <w:sz w:val="21"/>
                <w:szCs w:val="16"/>
              </w:rPr>
            </w:pPr>
            <w:r w:rsidRPr="00F1499B">
              <w:rPr>
                <w:rFonts w:ascii="Arial" w:hAnsi="Arial" w:cs="Arial"/>
                <w:sz w:val="21"/>
                <w:szCs w:val="16"/>
              </w:rPr>
              <w:t>Demonstrate discipleship</w:t>
            </w:r>
          </w:p>
        </w:tc>
      </w:tr>
      <w:tr w:rsidR="00F1499B" w:rsidRPr="00F1499B" w14:paraId="00579818" w14:textId="77777777" w:rsidTr="00F1499B">
        <w:tc>
          <w:tcPr>
            <w:tcW w:w="2268" w:type="dxa"/>
            <w:shd w:val="clear" w:color="auto" w:fill="auto"/>
          </w:tcPr>
          <w:p w14:paraId="1F9B9B15"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Meaning of “Lord”</w:t>
            </w:r>
          </w:p>
        </w:tc>
        <w:tc>
          <w:tcPr>
            <w:tcW w:w="2700" w:type="dxa"/>
            <w:shd w:val="clear" w:color="auto" w:fill="auto"/>
          </w:tcPr>
          <w:p w14:paraId="2F992C87"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Sovereign master</w:t>
            </w:r>
            <w:r w:rsidRPr="00F1499B">
              <w:rPr>
                <w:rStyle w:val="EndnoteReference"/>
                <w:rFonts w:ascii="Arial" w:hAnsi="Arial" w:cs="Arial"/>
                <w:sz w:val="21"/>
                <w:szCs w:val="16"/>
              </w:rPr>
              <w:endnoteReference w:id="13"/>
            </w:r>
          </w:p>
        </w:tc>
        <w:tc>
          <w:tcPr>
            <w:tcW w:w="2387" w:type="dxa"/>
            <w:shd w:val="clear" w:color="auto" w:fill="auto"/>
          </w:tcPr>
          <w:p w14:paraId="224DFDDA"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God (deity)</w:t>
            </w:r>
            <w:r w:rsidRPr="00F1499B">
              <w:rPr>
                <w:rStyle w:val="EndnoteReference"/>
                <w:rFonts w:ascii="Arial" w:hAnsi="Arial" w:cs="Arial"/>
                <w:sz w:val="21"/>
                <w:szCs w:val="16"/>
              </w:rPr>
              <w:endnoteReference w:id="14"/>
            </w:r>
          </w:p>
        </w:tc>
        <w:tc>
          <w:tcPr>
            <w:tcW w:w="2713" w:type="dxa"/>
            <w:shd w:val="clear" w:color="auto" w:fill="auto"/>
          </w:tcPr>
          <w:p w14:paraId="251060A0" w14:textId="77777777" w:rsidR="00F1499B" w:rsidRPr="00F1499B" w:rsidRDefault="00F1499B" w:rsidP="00F1499B">
            <w:pPr>
              <w:widowControl w:val="0"/>
              <w:ind w:right="-18"/>
              <w:rPr>
                <w:rFonts w:ascii="Arial" w:hAnsi="Arial" w:cs="Arial"/>
                <w:sz w:val="21"/>
                <w:szCs w:val="16"/>
              </w:rPr>
            </w:pPr>
            <w:r w:rsidRPr="00F1499B">
              <w:rPr>
                <w:rFonts w:ascii="Arial" w:hAnsi="Arial" w:cs="Arial"/>
                <w:sz w:val="21"/>
                <w:szCs w:val="16"/>
              </w:rPr>
              <w:t>Messianic title</w:t>
            </w:r>
          </w:p>
        </w:tc>
      </w:tr>
      <w:tr w:rsidR="00F1499B" w:rsidRPr="00F1499B" w14:paraId="1FCF2690" w14:textId="77777777" w:rsidTr="00F1499B">
        <w:tc>
          <w:tcPr>
            <w:tcW w:w="2268" w:type="dxa"/>
            <w:shd w:val="clear" w:color="auto" w:fill="auto"/>
          </w:tcPr>
          <w:p w14:paraId="3B728C83"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One who “used to be a Christian” but no longer believes</w:t>
            </w:r>
          </w:p>
        </w:tc>
        <w:tc>
          <w:tcPr>
            <w:tcW w:w="2700" w:type="dxa"/>
            <w:shd w:val="clear" w:color="auto" w:fill="auto"/>
          </w:tcPr>
          <w:p w14:paraId="3485557C"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He never was a Christian in the first place</w:t>
            </w:r>
            <w:r w:rsidRPr="00F1499B">
              <w:rPr>
                <w:rStyle w:val="EndnoteReference"/>
                <w:rFonts w:ascii="Arial" w:hAnsi="Arial" w:cs="Arial"/>
                <w:sz w:val="21"/>
                <w:szCs w:val="16"/>
              </w:rPr>
              <w:endnoteReference w:id="15"/>
            </w:r>
          </w:p>
        </w:tc>
        <w:tc>
          <w:tcPr>
            <w:tcW w:w="2387" w:type="dxa"/>
            <w:shd w:val="clear" w:color="auto" w:fill="auto"/>
          </w:tcPr>
          <w:p w14:paraId="7A2D3A61"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A believer in Jesus Christ may stop believing</w:t>
            </w:r>
            <w:r w:rsidRPr="00F1499B">
              <w:rPr>
                <w:rStyle w:val="EndnoteReference"/>
                <w:rFonts w:ascii="Arial" w:hAnsi="Arial" w:cs="Arial"/>
                <w:sz w:val="21"/>
                <w:szCs w:val="16"/>
              </w:rPr>
              <w:endnoteReference w:id="16"/>
            </w:r>
          </w:p>
        </w:tc>
        <w:tc>
          <w:tcPr>
            <w:tcW w:w="2713" w:type="dxa"/>
            <w:shd w:val="clear" w:color="auto" w:fill="auto"/>
          </w:tcPr>
          <w:p w14:paraId="34258E41" w14:textId="77777777" w:rsidR="00F1499B" w:rsidRPr="00F1499B" w:rsidRDefault="00F1499B" w:rsidP="00F1499B">
            <w:pPr>
              <w:widowControl w:val="0"/>
              <w:ind w:right="-18"/>
              <w:rPr>
                <w:rFonts w:ascii="Arial" w:hAnsi="Arial" w:cs="Arial"/>
                <w:sz w:val="21"/>
                <w:szCs w:val="16"/>
              </w:rPr>
            </w:pPr>
            <w:r w:rsidRPr="00F1499B">
              <w:rPr>
                <w:rFonts w:ascii="Arial" w:hAnsi="Arial" w:cs="Arial"/>
                <w:sz w:val="21"/>
                <w:szCs w:val="16"/>
              </w:rPr>
              <w:t>A believer in Jesus Christ may stop believing</w:t>
            </w:r>
            <w:r w:rsidRPr="00F1499B">
              <w:rPr>
                <w:rStyle w:val="EndnoteReference"/>
                <w:rFonts w:ascii="Arial" w:hAnsi="Arial" w:cs="Arial"/>
                <w:sz w:val="21"/>
                <w:szCs w:val="16"/>
              </w:rPr>
              <w:endnoteReference w:id="17"/>
            </w:r>
          </w:p>
        </w:tc>
      </w:tr>
      <w:tr w:rsidR="00F1499B" w:rsidRPr="00F1499B" w14:paraId="49A22E01" w14:textId="77777777" w:rsidTr="00F1499B">
        <w:tc>
          <w:tcPr>
            <w:tcW w:w="2268" w:type="dxa"/>
            <w:shd w:val="clear" w:color="auto" w:fill="auto"/>
          </w:tcPr>
          <w:p w14:paraId="690718B5"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Counsel to a genuine believer with doubts</w:t>
            </w:r>
          </w:p>
        </w:tc>
        <w:tc>
          <w:tcPr>
            <w:tcW w:w="2700" w:type="dxa"/>
            <w:shd w:val="clear" w:color="auto" w:fill="auto"/>
          </w:tcPr>
          <w:p w14:paraId="504BD303"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“Examine yourself to see whether you are in the faith…” (2 Cor. 13:5a)</w:t>
            </w:r>
          </w:p>
        </w:tc>
        <w:tc>
          <w:tcPr>
            <w:tcW w:w="2387" w:type="dxa"/>
            <w:shd w:val="clear" w:color="auto" w:fill="auto"/>
          </w:tcPr>
          <w:p w14:paraId="07EAEC37"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Examine the promises of God that you are a believer (1 John 5:13)</w:t>
            </w:r>
          </w:p>
        </w:tc>
        <w:tc>
          <w:tcPr>
            <w:tcW w:w="2713" w:type="dxa"/>
            <w:shd w:val="clear" w:color="auto" w:fill="auto"/>
          </w:tcPr>
          <w:p w14:paraId="5A74B074"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Examine the promises of God that you are a believer (1 John 5:13)</w:t>
            </w:r>
          </w:p>
        </w:tc>
      </w:tr>
      <w:tr w:rsidR="00F1499B" w:rsidRPr="00F1499B" w14:paraId="632E0ED9" w14:textId="77777777" w:rsidTr="00F1499B">
        <w:tc>
          <w:tcPr>
            <w:tcW w:w="2268" w:type="dxa"/>
            <w:shd w:val="clear" w:color="auto" w:fill="auto"/>
          </w:tcPr>
          <w:p w14:paraId="6DCBAA5C"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Assurance</w:t>
            </w:r>
          </w:p>
        </w:tc>
        <w:tc>
          <w:tcPr>
            <w:tcW w:w="2700" w:type="dxa"/>
            <w:shd w:val="clear" w:color="auto" w:fill="auto"/>
          </w:tcPr>
          <w:p w14:paraId="39538EFF"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Conditional</w:t>
            </w:r>
            <w:r w:rsidRPr="00F1499B">
              <w:rPr>
                <w:rStyle w:val="EndnoteReference"/>
                <w:rFonts w:ascii="Arial" w:hAnsi="Arial" w:cs="Arial"/>
                <w:sz w:val="21"/>
                <w:szCs w:val="16"/>
              </w:rPr>
              <w:endnoteReference w:id="18"/>
            </w:r>
          </w:p>
        </w:tc>
        <w:tc>
          <w:tcPr>
            <w:tcW w:w="2387" w:type="dxa"/>
            <w:shd w:val="clear" w:color="auto" w:fill="auto"/>
          </w:tcPr>
          <w:p w14:paraId="55A1A4FA"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Divinely promised</w:t>
            </w:r>
            <w:r w:rsidRPr="00F1499B">
              <w:rPr>
                <w:rStyle w:val="EndnoteReference"/>
                <w:rFonts w:ascii="Arial" w:hAnsi="Arial" w:cs="Arial"/>
                <w:sz w:val="21"/>
                <w:szCs w:val="16"/>
              </w:rPr>
              <w:endnoteReference w:id="19"/>
            </w:r>
          </w:p>
        </w:tc>
        <w:tc>
          <w:tcPr>
            <w:tcW w:w="2713" w:type="dxa"/>
            <w:shd w:val="clear" w:color="auto" w:fill="auto"/>
          </w:tcPr>
          <w:p w14:paraId="3542EA94" w14:textId="77777777" w:rsidR="00F1499B" w:rsidRPr="00F1499B" w:rsidRDefault="00F1499B" w:rsidP="00F1499B">
            <w:pPr>
              <w:widowControl w:val="0"/>
              <w:ind w:right="-18"/>
              <w:rPr>
                <w:rFonts w:ascii="Arial" w:hAnsi="Arial" w:cs="Arial"/>
                <w:sz w:val="21"/>
                <w:szCs w:val="16"/>
              </w:rPr>
            </w:pPr>
            <w:r w:rsidRPr="00F1499B">
              <w:rPr>
                <w:rFonts w:ascii="Arial" w:hAnsi="Arial" w:cs="Arial"/>
                <w:sz w:val="21"/>
                <w:szCs w:val="16"/>
              </w:rPr>
              <w:t>Unconditional</w:t>
            </w:r>
            <w:r w:rsidRPr="00F1499B">
              <w:rPr>
                <w:rStyle w:val="EndnoteReference"/>
                <w:rFonts w:ascii="Arial" w:hAnsi="Arial" w:cs="Arial"/>
                <w:sz w:val="21"/>
                <w:szCs w:val="16"/>
              </w:rPr>
              <w:endnoteReference w:id="20"/>
            </w:r>
          </w:p>
        </w:tc>
      </w:tr>
      <w:tr w:rsidR="00F1499B" w:rsidRPr="00F1499B" w14:paraId="1A9F62D8" w14:textId="77777777" w:rsidTr="00F1499B">
        <w:tc>
          <w:tcPr>
            <w:tcW w:w="2268" w:type="dxa"/>
            <w:shd w:val="clear" w:color="auto" w:fill="auto"/>
          </w:tcPr>
          <w:p w14:paraId="78FC87ED"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Perseverance</w:t>
            </w:r>
            <w:r w:rsidRPr="00F1499B">
              <w:rPr>
                <w:rStyle w:val="EndnoteReference"/>
                <w:rFonts w:ascii="Arial" w:hAnsi="Arial" w:cs="Arial"/>
                <w:i/>
                <w:sz w:val="21"/>
                <w:szCs w:val="16"/>
              </w:rPr>
              <w:endnoteReference w:id="21"/>
            </w:r>
          </w:p>
        </w:tc>
        <w:tc>
          <w:tcPr>
            <w:tcW w:w="2700" w:type="dxa"/>
            <w:shd w:val="clear" w:color="auto" w:fill="auto"/>
          </w:tcPr>
          <w:p w14:paraId="0AF77AEC"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True believers will persevere in the end</w:t>
            </w:r>
            <w:r w:rsidRPr="00F1499B">
              <w:rPr>
                <w:rStyle w:val="EndnoteReference"/>
                <w:rFonts w:ascii="Arial" w:hAnsi="Arial" w:cs="Arial"/>
                <w:sz w:val="21"/>
                <w:szCs w:val="16"/>
              </w:rPr>
              <w:endnoteReference w:id="22"/>
            </w:r>
          </w:p>
        </w:tc>
        <w:tc>
          <w:tcPr>
            <w:tcW w:w="2387" w:type="dxa"/>
            <w:shd w:val="clear" w:color="auto" w:fill="auto"/>
          </w:tcPr>
          <w:p w14:paraId="533371E5"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Believers can fail to persevere in the end</w:t>
            </w:r>
          </w:p>
        </w:tc>
        <w:tc>
          <w:tcPr>
            <w:tcW w:w="2713" w:type="dxa"/>
            <w:shd w:val="clear" w:color="auto" w:fill="auto"/>
          </w:tcPr>
          <w:p w14:paraId="77A546F0" w14:textId="77777777" w:rsidR="00F1499B" w:rsidRPr="00F1499B" w:rsidRDefault="00F1499B" w:rsidP="00F1499B">
            <w:pPr>
              <w:widowControl w:val="0"/>
              <w:ind w:right="-18"/>
              <w:rPr>
                <w:rFonts w:ascii="Arial" w:hAnsi="Arial" w:cs="Arial"/>
                <w:sz w:val="21"/>
                <w:szCs w:val="16"/>
              </w:rPr>
            </w:pPr>
            <w:r w:rsidRPr="00F1499B">
              <w:rPr>
                <w:rFonts w:ascii="Arial" w:hAnsi="Arial" w:cs="Arial"/>
                <w:sz w:val="21"/>
                <w:szCs w:val="16"/>
              </w:rPr>
              <w:t>Believers can fail to persevere in the end</w:t>
            </w:r>
            <w:r w:rsidRPr="00F1499B">
              <w:rPr>
                <w:rStyle w:val="EndnoteReference"/>
                <w:rFonts w:ascii="Arial" w:hAnsi="Arial" w:cs="Arial"/>
                <w:sz w:val="21"/>
                <w:szCs w:val="16"/>
              </w:rPr>
              <w:t xml:space="preserve"> </w:t>
            </w:r>
            <w:r w:rsidRPr="00F1499B">
              <w:rPr>
                <w:rStyle w:val="EndnoteReference"/>
                <w:rFonts w:ascii="Arial" w:hAnsi="Arial" w:cs="Arial"/>
                <w:sz w:val="21"/>
                <w:szCs w:val="16"/>
              </w:rPr>
              <w:endnoteReference w:id="23"/>
            </w:r>
          </w:p>
        </w:tc>
      </w:tr>
      <w:tr w:rsidR="00F1499B" w:rsidRPr="00F1499B" w14:paraId="48663722" w14:textId="77777777" w:rsidTr="00F1499B">
        <w:tc>
          <w:tcPr>
            <w:tcW w:w="2268" w:type="dxa"/>
            <w:shd w:val="clear" w:color="auto" w:fill="auto"/>
          </w:tcPr>
          <w:p w14:paraId="6F9FC378"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Carnal Christians</w:t>
            </w:r>
          </w:p>
        </w:tc>
        <w:tc>
          <w:tcPr>
            <w:tcW w:w="2700" w:type="dxa"/>
            <w:shd w:val="clear" w:color="auto" w:fill="auto"/>
          </w:tcPr>
          <w:p w14:paraId="5F1ACBFA"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Possible for a time</w:t>
            </w:r>
            <w:r w:rsidRPr="00F1499B">
              <w:rPr>
                <w:rStyle w:val="EndnoteReference"/>
                <w:rFonts w:ascii="Arial" w:hAnsi="Arial" w:cs="Arial"/>
                <w:sz w:val="21"/>
                <w:szCs w:val="16"/>
              </w:rPr>
              <w:endnoteReference w:id="24"/>
            </w:r>
          </w:p>
        </w:tc>
        <w:tc>
          <w:tcPr>
            <w:tcW w:w="2387" w:type="dxa"/>
            <w:shd w:val="clear" w:color="auto" w:fill="auto"/>
          </w:tcPr>
          <w:p w14:paraId="2210198D"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Possible for lifetime</w:t>
            </w:r>
            <w:r w:rsidRPr="00F1499B">
              <w:rPr>
                <w:rStyle w:val="EndnoteReference"/>
                <w:rFonts w:ascii="Arial" w:hAnsi="Arial" w:cs="Arial"/>
                <w:sz w:val="21"/>
                <w:szCs w:val="16"/>
              </w:rPr>
              <w:endnoteReference w:id="25"/>
            </w:r>
          </w:p>
        </w:tc>
        <w:tc>
          <w:tcPr>
            <w:tcW w:w="2713" w:type="dxa"/>
            <w:shd w:val="clear" w:color="auto" w:fill="auto"/>
          </w:tcPr>
          <w:p w14:paraId="5EB106FE" w14:textId="77777777" w:rsidR="00F1499B" w:rsidRPr="00F1499B" w:rsidRDefault="00F1499B" w:rsidP="00F1499B">
            <w:pPr>
              <w:ind w:right="-18"/>
              <w:rPr>
                <w:rFonts w:ascii="Arial" w:hAnsi="Arial" w:cs="Arial"/>
                <w:sz w:val="21"/>
                <w:szCs w:val="16"/>
              </w:rPr>
            </w:pPr>
            <w:r w:rsidRPr="00F1499B">
              <w:rPr>
                <w:rFonts w:ascii="Arial" w:hAnsi="Arial" w:cs="Arial"/>
                <w:sz w:val="21"/>
                <w:szCs w:val="16"/>
              </w:rPr>
              <w:t>Possible for a lifetime</w:t>
            </w:r>
          </w:p>
        </w:tc>
      </w:tr>
      <w:tr w:rsidR="00F1499B" w:rsidRPr="00F1499B" w14:paraId="33ABC71F" w14:textId="77777777" w:rsidTr="00F1499B">
        <w:tc>
          <w:tcPr>
            <w:tcW w:w="2268" w:type="dxa"/>
            <w:shd w:val="clear" w:color="auto" w:fill="auto"/>
          </w:tcPr>
          <w:p w14:paraId="145DECAB"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Key objection to the other two views</w:t>
            </w:r>
          </w:p>
        </w:tc>
        <w:tc>
          <w:tcPr>
            <w:tcW w:w="2700" w:type="dxa"/>
            <w:shd w:val="clear" w:color="auto" w:fill="auto"/>
          </w:tcPr>
          <w:p w14:paraId="724D2360"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 xml:space="preserve">“You can accept Christ as Savior now but Lord later” produces only </w:t>
            </w:r>
            <w:r w:rsidRPr="00F1499B">
              <w:rPr>
                <w:rFonts w:ascii="Arial" w:hAnsi="Arial" w:cs="Arial"/>
                <w:i/>
                <w:sz w:val="21"/>
                <w:szCs w:val="16"/>
              </w:rPr>
              <w:t>professing</w:t>
            </w:r>
            <w:r w:rsidRPr="00F1499B">
              <w:rPr>
                <w:rFonts w:ascii="Arial" w:hAnsi="Arial" w:cs="Arial"/>
                <w:sz w:val="21"/>
                <w:szCs w:val="16"/>
              </w:rPr>
              <w:t xml:space="preserve"> “Christians” with false assurance</w:t>
            </w:r>
            <w:r w:rsidRPr="00F1499B">
              <w:rPr>
                <w:rStyle w:val="EndnoteReference"/>
                <w:rFonts w:ascii="Arial" w:hAnsi="Arial" w:cs="Arial"/>
                <w:sz w:val="21"/>
                <w:szCs w:val="16"/>
              </w:rPr>
              <w:endnoteReference w:id="26"/>
            </w:r>
          </w:p>
        </w:tc>
        <w:tc>
          <w:tcPr>
            <w:tcW w:w="2387" w:type="dxa"/>
            <w:shd w:val="clear" w:color="auto" w:fill="auto"/>
          </w:tcPr>
          <w:p w14:paraId="1453101D"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Lordship theology adds confusing and unbiblical terms to the simple gospel message</w:t>
            </w:r>
          </w:p>
        </w:tc>
        <w:tc>
          <w:tcPr>
            <w:tcW w:w="2713" w:type="dxa"/>
            <w:shd w:val="clear" w:color="auto" w:fill="auto"/>
          </w:tcPr>
          <w:p w14:paraId="519DF423" w14:textId="77777777" w:rsidR="00F1499B" w:rsidRPr="00F1499B" w:rsidRDefault="00F1499B" w:rsidP="00F1499B">
            <w:pPr>
              <w:widowControl w:val="0"/>
              <w:ind w:right="-18"/>
              <w:rPr>
                <w:rFonts w:ascii="Arial" w:hAnsi="Arial" w:cs="Arial"/>
                <w:sz w:val="21"/>
                <w:szCs w:val="16"/>
              </w:rPr>
            </w:pPr>
            <w:r w:rsidRPr="00F1499B">
              <w:rPr>
                <w:rFonts w:ascii="Arial" w:hAnsi="Arial" w:cs="Arial"/>
                <w:sz w:val="21"/>
                <w:szCs w:val="16"/>
              </w:rPr>
              <w:t>Salvation is absolutely free and as a gift it has no other condition than faith, so lordship theology distorts the simple gospel</w:t>
            </w:r>
          </w:p>
        </w:tc>
      </w:tr>
      <w:tr w:rsidR="00F1499B" w:rsidRPr="00F1499B" w14:paraId="5A2A1F57" w14:textId="77777777" w:rsidTr="00F1499B">
        <w:tc>
          <w:tcPr>
            <w:tcW w:w="2268" w:type="dxa"/>
            <w:shd w:val="clear" w:color="auto" w:fill="auto"/>
          </w:tcPr>
          <w:p w14:paraId="6002B305" w14:textId="77777777" w:rsidR="00F1499B" w:rsidRPr="00F1499B" w:rsidRDefault="00F1499B" w:rsidP="00F1499B">
            <w:pPr>
              <w:widowControl w:val="0"/>
              <w:rPr>
                <w:rFonts w:ascii="Arial" w:hAnsi="Arial" w:cs="Arial"/>
                <w:i/>
                <w:sz w:val="21"/>
                <w:szCs w:val="16"/>
              </w:rPr>
            </w:pPr>
            <w:r w:rsidRPr="00F1499B">
              <w:rPr>
                <w:rFonts w:ascii="Arial" w:hAnsi="Arial" w:cs="Arial"/>
                <w:i/>
                <w:sz w:val="21"/>
                <w:szCs w:val="16"/>
              </w:rPr>
              <w:t>Problems</w:t>
            </w:r>
          </w:p>
        </w:tc>
        <w:tc>
          <w:tcPr>
            <w:tcW w:w="2700" w:type="dxa"/>
            <w:shd w:val="clear" w:color="auto" w:fill="auto"/>
          </w:tcPr>
          <w:p w14:paraId="629AC0F3"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Blurs faith for salvation and works as disciple</w:t>
            </w:r>
            <w:r w:rsidRPr="00F1499B">
              <w:rPr>
                <w:rStyle w:val="EndnoteReference"/>
                <w:rFonts w:ascii="Arial" w:hAnsi="Arial" w:cs="Arial"/>
                <w:sz w:val="21"/>
                <w:szCs w:val="16"/>
              </w:rPr>
              <w:endnoteReference w:id="27"/>
            </w:r>
          </w:p>
          <w:p w14:paraId="65E906F6"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Leaves no option of an immature Christian</w:t>
            </w:r>
            <w:r w:rsidRPr="00F1499B">
              <w:rPr>
                <w:rStyle w:val="EndnoteReference"/>
                <w:rFonts w:ascii="Arial" w:hAnsi="Arial" w:cs="Arial"/>
                <w:sz w:val="21"/>
                <w:szCs w:val="16"/>
              </w:rPr>
              <w:endnoteReference w:id="28"/>
            </w:r>
          </w:p>
          <w:p w14:paraId="37BCFFA8"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Lordship has degrees</w:t>
            </w:r>
            <w:r w:rsidRPr="00F1499B">
              <w:rPr>
                <w:rStyle w:val="EndnoteReference"/>
                <w:rFonts w:ascii="Arial" w:hAnsi="Arial" w:cs="Arial"/>
                <w:sz w:val="21"/>
                <w:szCs w:val="16"/>
              </w:rPr>
              <w:endnoteReference w:id="29"/>
            </w:r>
          </w:p>
          <w:p w14:paraId="68A8A646"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Carnal Christians exist</w:t>
            </w:r>
          </w:p>
          <w:p w14:paraId="28FFA7E5"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Assurance is illusive</w:t>
            </w:r>
          </w:p>
          <w:p w14:paraId="72D8B536"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Experience refutes</w:t>
            </w:r>
            <w:r w:rsidRPr="00F1499B">
              <w:rPr>
                <w:rStyle w:val="EndnoteReference"/>
                <w:rFonts w:ascii="Arial" w:hAnsi="Arial" w:cs="Arial"/>
                <w:sz w:val="21"/>
                <w:szCs w:val="16"/>
              </w:rPr>
              <w:endnoteReference w:id="30"/>
            </w:r>
          </w:p>
          <w:p w14:paraId="7EACBB38"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Denies sin unto death</w:t>
            </w:r>
            <w:r w:rsidRPr="00F1499B">
              <w:rPr>
                <w:rStyle w:val="EndnoteReference"/>
                <w:rFonts w:ascii="Arial" w:hAnsi="Arial" w:cs="Arial"/>
                <w:sz w:val="21"/>
                <w:szCs w:val="16"/>
              </w:rPr>
              <w:endnoteReference w:id="31"/>
            </w:r>
          </w:p>
        </w:tc>
        <w:tc>
          <w:tcPr>
            <w:tcW w:w="2387" w:type="dxa"/>
            <w:shd w:val="clear" w:color="auto" w:fill="auto"/>
          </w:tcPr>
          <w:p w14:paraId="4397550B" w14:textId="77777777" w:rsidR="00F1499B" w:rsidRPr="00F1499B" w:rsidRDefault="00F1499B" w:rsidP="00F1499B">
            <w:pPr>
              <w:widowControl w:val="0"/>
              <w:rPr>
                <w:rFonts w:ascii="Arial" w:hAnsi="Arial" w:cs="Arial"/>
                <w:sz w:val="21"/>
                <w:szCs w:val="16"/>
              </w:rPr>
            </w:pPr>
            <w:r w:rsidRPr="00F1499B">
              <w:rPr>
                <w:rFonts w:ascii="Arial" w:hAnsi="Arial" w:cs="Arial"/>
                <w:sz w:val="21"/>
                <w:szCs w:val="16"/>
              </w:rPr>
              <w:t>Lordship advocates say true repentance is:</w:t>
            </w:r>
          </w:p>
          <w:p w14:paraId="1FA67106"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a decision to change behavior</w:t>
            </w:r>
            <w:r w:rsidRPr="00F1499B">
              <w:rPr>
                <w:rStyle w:val="EndnoteReference"/>
                <w:rFonts w:ascii="Arial" w:hAnsi="Arial" w:cs="Arial"/>
                <w:sz w:val="21"/>
                <w:szCs w:val="16"/>
              </w:rPr>
              <w:endnoteReference w:id="32"/>
            </w:r>
          </w:p>
          <w:p w14:paraId="4F4AA77B"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part of the gospel</w:t>
            </w:r>
            <w:r w:rsidRPr="00F1499B">
              <w:rPr>
                <w:rStyle w:val="EndnoteReference"/>
                <w:rFonts w:ascii="Arial" w:hAnsi="Arial" w:cs="Arial"/>
                <w:sz w:val="21"/>
                <w:szCs w:val="16"/>
              </w:rPr>
              <w:endnoteReference w:id="33"/>
            </w:r>
          </w:p>
          <w:p w14:paraId="7E07EB47"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often linked with faith</w:t>
            </w:r>
            <w:r w:rsidRPr="00F1499B">
              <w:rPr>
                <w:rStyle w:val="EndnoteReference"/>
                <w:rFonts w:ascii="Arial" w:hAnsi="Arial" w:cs="Arial"/>
                <w:sz w:val="21"/>
                <w:szCs w:val="16"/>
              </w:rPr>
              <w:endnoteReference w:id="34"/>
            </w:r>
          </w:p>
          <w:p w14:paraId="10D9FB95" w14:textId="77777777" w:rsidR="00F1499B" w:rsidRPr="00F1499B" w:rsidRDefault="00F1499B" w:rsidP="00F1499B">
            <w:pPr>
              <w:widowControl w:val="0"/>
              <w:numPr>
                <w:ilvl w:val="0"/>
                <w:numId w:val="2"/>
              </w:numPr>
              <w:tabs>
                <w:tab w:val="clear" w:pos="720"/>
              </w:tabs>
              <w:ind w:left="162" w:hanging="162"/>
              <w:rPr>
                <w:rFonts w:ascii="Arial" w:hAnsi="Arial" w:cs="Arial"/>
                <w:sz w:val="21"/>
                <w:szCs w:val="16"/>
              </w:rPr>
            </w:pPr>
            <w:r w:rsidRPr="00F1499B">
              <w:rPr>
                <w:rFonts w:ascii="Arial" w:hAnsi="Arial" w:cs="Arial"/>
                <w:sz w:val="21"/>
                <w:szCs w:val="16"/>
              </w:rPr>
              <w:t>noted alone for salvation</w:t>
            </w:r>
            <w:r w:rsidRPr="00F1499B">
              <w:rPr>
                <w:rStyle w:val="EndnoteReference"/>
                <w:rFonts w:ascii="Arial" w:hAnsi="Arial" w:cs="Arial"/>
                <w:sz w:val="21"/>
                <w:szCs w:val="16"/>
              </w:rPr>
              <w:endnoteReference w:id="35"/>
            </w:r>
          </w:p>
        </w:tc>
        <w:tc>
          <w:tcPr>
            <w:tcW w:w="2713" w:type="dxa"/>
            <w:shd w:val="clear" w:color="auto" w:fill="auto"/>
          </w:tcPr>
          <w:p w14:paraId="15952F1D" w14:textId="77777777" w:rsidR="00F1499B" w:rsidRPr="00F1499B" w:rsidRDefault="00F1499B" w:rsidP="00F1499B">
            <w:pPr>
              <w:widowControl w:val="0"/>
              <w:ind w:right="-18"/>
              <w:rPr>
                <w:rFonts w:ascii="Arial" w:hAnsi="Arial" w:cs="Arial"/>
                <w:sz w:val="21"/>
                <w:szCs w:val="16"/>
              </w:rPr>
            </w:pPr>
            <w:r w:rsidRPr="00F1499B">
              <w:rPr>
                <w:rFonts w:ascii="Arial" w:hAnsi="Arial" w:cs="Arial"/>
                <w:sz w:val="21"/>
                <w:szCs w:val="16"/>
              </w:rPr>
              <w:t xml:space="preserve">Lordship advocates say: </w:t>
            </w:r>
          </w:p>
          <w:p w14:paraId="173D36EA" w14:textId="77777777" w:rsidR="00F1499B" w:rsidRPr="00F1499B" w:rsidRDefault="00F1499B" w:rsidP="00F1499B">
            <w:pPr>
              <w:widowControl w:val="0"/>
              <w:numPr>
                <w:ilvl w:val="0"/>
                <w:numId w:val="2"/>
              </w:numPr>
              <w:tabs>
                <w:tab w:val="clear" w:pos="720"/>
              </w:tabs>
              <w:ind w:left="162" w:right="-18" w:hanging="162"/>
              <w:rPr>
                <w:rFonts w:ascii="Arial" w:hAnsi="Arial" w:cs="Arial"/>
                <w:sz w:val="21"/>
                <w:szCs w:val="16"/>
              </w:rPr>
            </w:pPr>
            <w:r w:rsidRPr="00F1499B">
              <w:rPr>
                <w:rFonts w:ascii="Arial" w:hAnsi="Arial" w:cs="Arial"/>
                <w:sz w:val="21"/>
                <w:szCs w:val="16"/>
              </w:rPr>
              <w:t>It overlooks the danger of false professions</w:t>
            </w:r>
          </w:p>
          <w:p w14:paraId="22707E82" w14:textId="77777777" w:rsidR="00F1499B" w:rsidRPr="00F1499B" w:rsidRDefault="00F1499B" w:rsidP="00F1499B">
            <w:pPr>
              <w:widowControl w:val="0"/>
              <w:numPr>
                <w:ilvl w:val="0"/>
                <w:numId w:val="2"/>
              </w:numPr>
              <w:tabs>
                <w:tab w:val="clear" w:pos="720"/>
              </w:tabs>
              <w:ind w:left="162" w:right="-18" w:hanging="162"/>
              <w:rPr>
                <w:rFonts w:ascii="Arial" w:hAnsi="Arial" w:cs="Arial"/>
                <w:sz w:val="21"/>
                <w:szCs w:val="16"/>
              </w:rPr>
            </w:pPr>
            <w:r w:rsidRPr="00F1499B">
              <w:rPr>
                <w:rFonts w:ascii="Arial" w:hAnsi="Arial" w:cs="Arial"/>
                <w:sz w:val="21"/>
                <w:szCs w:val="16"/>
              </w:rPr>
              <w:t>This is “cheap grace” or “easy believism”</w:t>
            </w:r>
          </w:p>
          <w:p w14:paraId="50B2105A" w14:textId="77777777" w:rsidR="00F1499B" w:rsidRPr="00F1499B" w:rsidRDefault="00F1499B" w:rsidP="00F1499B">
            <w:pPr>
              <w:widowControl w:val="0"/>
              <w:numPr>
                <w:ilvl w:val="0"/>
                <w:numId w:val="2"/>
              </w:numPr>
              <w:tabs>
                <w:tab w:val="clear" w:pos="720"/>
              </w:tabs>
              <w:ind w:left="162" w:right="-18" w:hanging="162"/>
              <w:rPr>
                <w:rFonts w:ascii="Arial" w:hAnsi="Arial" w:cs="Arial"/>
                <w:sz w:val="21"/>
                <w:szCs w:val="16"/>
              </w:rPr>
            </w:pPr>
            <w:r w:rsidRPr="00F1499B">
              <w:rPr>
                <w:rFonts w:ascii="Arial" w:hAnsi="Arial" w:cs="Arial"/>
                <w:sz w:val="21"/>
                <w:szCs w:val="16"/>
              </w:rPr>
              <w:t>It has the same problems with repentance as the Moderate view</w:t>
            </w:r>
          </w:p>
        </w:tc>
      </w:tr>
    </w:tbl>
    <w:p w14:paraId="1D0133DC" w14:textId="77777777" w:rsidR="00F1499B" w:rsidRPr="003972C1" w:rsidRDefault="00F1499B">
      <w:pPr>
        <w:rPr>
          <w:rFonts w:ascii="Arial" w:hAnsi="Arial" w:cs="Arial"/>
          <w:b/>
          <w:sz w:val="21"/>
          <w:szCs w:val="16"/>
        </w:rPr>
      </w:pPr>
      <w:r w:rsidRPr="003972C1">
        <w:rPr>
          <w:rFonts w:ascii="Arial" w:hAnsi="Arial" w:cs="Arial"/>
          <w:sz w:val="21"/>
          <w:szCs w:val="16"/>
        </w:rPr>
        <w:br w:type="page"/>
      </w:r>
      <w:r w:rsidRPr="003972C1">
        <w:rPr>
          <w:rFonts w:ascii="Arial" w:hAnsi="Arial" w:cs="Arial"/>
          <w:b/>
          <w:sz w:val="21"/>
          <w:szCs w:val="16"/>
        </w:rPr>
        <w:lastRenderedPageBreak/>
        <w:t>Endnotes</w:t>
      </w:r>
    </w:p>
    <w:sectPr w:rsidR="00F1499B" w:rsidRPr="003972C1" w:rsidSect="00F1499B">
      <w:headerReference w:type="default" r:id="rId7"/>
      <w:footerReference w:type="default" r:id="rId8"/>
      <w:headerReference w:type="first" r:id="rId9"/>
      <w:footerReference w:type="first" r:id="rId10"/>
      <w:endnotePr>
        <w:numFmt w:val="decimal"/>
      </w:endnotePr>
      <w:pgSz w:w="11909" w:h="16834" w:code="9"/>
      <w:pgMar w:top="720" w:right="1080" w:bottom="288" w:left="1238" w:header="720" w:footer="864" w:gutter="0"/>
      <w:pgNumType w:fmt="lowerLetter"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E013" w14:textId="77777777" w:rsidR="00C41CAC" w:rsidRDefault="00C41CAC">
      <w:r>
        <w:separator/>
      </w:r>
    </w:p>
  </w:endnote>
  <w:endnote w:type="continuationSeparator" w:id="0">
    <w:p w14:paraId="3ABE522A" w14:textId="77777777" w:rsidR="00C41CAC" w:rsidRDefault="00C41CAC">
      <w:r>
        <w:continuationSeparator/>
      </w:r>
    </w:p>
  </w:endnote>
  <w:endnote w:id="1">
    <w:p w14:paraId="0533C9C2"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This study summarizes Randall C. Gleason, "The Lordship Salvation Debate," in </w:t>
      </w:r>
      <w:r w:rsidRPr="003972C1">
        <w:rPr>
          <w:rFonts w:ascii="Arial" w:hAnsi="Arial" w:cs="Arial"/>
          <w:i/>
          <w:sz w:val="15"/>
          <w:szCs w:val="10"/>
        </w:rPr>
        <w:t>Principles of Leadership: What We Can Learn from the Life and Ministry of Bill Bright</w:t>
      </w:r>
      <w:r w:rsidRPr="003972C1">
        <w:rPr>
          <w:rFonts w:ascii="Arial" w:hAnsi="Arial" w:cs="Arial"/>
          <w:sz w:val="15"/>
          <w:szCs w:val="10"/>
        </w:rPr>
        <w:t xml:space="preserve">, eds. Ted Martin and Michael Cozzens (Orlando: New Life, 2001): 377-97.  The sources for the chart are John F. MacArthur, </w:t>
      </w:r>
      <w:r w:rsidRPr="003972C1">
        <w:rPr>
          <w:rFonts w:ascii="Arial" w:hAnsi="Arial" w:cs="Arial"/>
          <w:i/>
          <w:sz w:val="15"/>
          <w:szCs w:val="10"/>
        </w:rPr>
        <w:t xml:space="preserve">The Gospel According to Jesus </w:t>
      </w:r>
      <w:r w:rsidRPr="003972C1">
        <w:rPr>
          <w:rFonts w:ascii="Arial" w:hAnsi="Arial" w:cs="Arial"/>
          <w:sz w:val="15"/>
          <w:szCs w:val="10"/>
        </w:rPr>
        <w:t xml:space="preserve">(Grand Rapids: Zondervan, 1988); Charles C. Ryrie, </w:t>
      </w:r>
      <w:r w:rsidRPr="003972C1">
        <w:rPr>
          <w:rFonts w:ascii="Arial" w:hAnsi="Arial" w:cs="Arial"/>
          <w:i/>
          <w:sz w:val="15"/>
          <w:szCs w:val="10"/>
        </w:rPr>
        <w:t>So Great a Salvation: What it Means to Believe in Jesus Christ</w:t>
      </w:r>
      <w:r w:rsidRPr="003972C1">
        <w:rPr>
          <w:rFonts w:ascii="Arial" w:hAnsi="Arial" w:cs="Arial"/>
          <w:sz w:val="15"/>
          <w:szCs w:val="10"/>
        </w:rPr>
        <w:t xml:space="preserve"> (Wheaton: Victor, 1989); Zane C. Hodges, </w:t>
      </w:r>
      <w:r w:rsidRPr="003972C1">
        <w:rPr>
          <w:rFonts w:ascii="Arial" w:hAnsi="Arial" w:cs="Arial"/>
          <w:i/>
          <w:sz w:val="15"/>
          <w:szCs w:val="10"/>
        </w:rPr>
        <w:t>Absolutely Free!  A Biblical Reply to Lordship Salvation</w:t>
      </w:r>
      <w:r w:rsidRPr="003972C1">
        <w:rPr>
          <w:rFonts w:ascii="Arial" w:hAnsi="Arial" w:cs="Arial"/>
          <w:sz w:val="15"/>
          <w:szCs w:val="10"/>
        </w:rPr>
        <w:t xml:space="preserve"> (Grand Rapids: Zondervan, 1989).  The sources in the following footnotes are all cited in Gleason’s article.</w:t>
      </w:r>
    </w:p>
  </w:endnote>
  <w:endnote w:id="2">
    <w:p w14:paraId="2ECFDB96"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Kenneth L. Gentry, Jr., </w:t>
      </w:r>
      <w:r w:rsidRPr="003972C1">
        <w:rPr>
          <w:rFonts w:ascii="Arial" w:hAnsi="Arial" w:cs="Arial"/>
          <w:i/>
          <w:sz w:val="15"/>
          <w:szCs w:val="10"/>
        </w:rPr>
        <w:t>Lord of the Saved: Getting to the Heart of the Lordship Debate</w:t>
      </w:r>
      <w:r w:rsidRPr="003972C1">
        <w:rPr>
          <w:rFonts w:ascii="Arial" w:hAnsi="Arial" w:cs="Arial"/>
          <w:sz w:val="15"/>
          <w:szCs w:val="10"/>
        </w:rPr>
        <w:t xml:space="preserve"> (Phillipsburg, NJ: Presbyterian &amp; Reformed, 1992), 20.</w:t>
      </w:r>
    </w:p>
  </w:endnote>
  <w:endnote w:id="3">
    <w:p w14:paraId="7727E799"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Ryrie, 121.</w:t>
      </w:r>
    </w:p>
  </w:endnote>
  <w:endnote w:id="4">
    <w:p w14:paraId="50ECDE2E" w14:textId="77777777" w:rsidR="00F1499B" w:rsidRPr="003972C1" w:rsidRDefault="00F1499B" w:rsidP="00F1499B">
      <w:pPr>
        <w:pStyle w:val="EndnoteText"/>
        <w:ind w:firstLine="270"/>
        <w:rPr>
          <w:rFonts w:ascii="Arial" w:hAnsi="Arial" w:cs="Arial"/>
          <w:sz w:val="15"/>
          <w:szCs w:val="10"/>
        </w:rPr>
      </w:pPr>
      <w:r w:rsidRPr="003972C1">
        <w:rPr>
          <w:rFonts w:ascii="Arial" w:hAnsi="Arial" w:cs="Arial"/>
          <w:sz w:val="15"/>
          <w:szCs w:val="10"/>
        </w:rPr>
        <w:softHyphen/>
      </w:r>
      <w:r w:rsidRPr="003972C1">
        <w:rPr>
          <w:rStyle w:val="EndnoteReference"/>
          <w:rFonts w:ascii="Arial" w:hAnsi="Arial" w:cs="Arial"/>
          <w:sz w:val="15"/>
          <w:szCs w:val="10"/>
        </w:rPr>
        <w:endnoteRef/>
      </w:r>
      <w:r w:rsidRPr="003972C1">
        <w:rPr>
          <w:rFonts w:ascii="Arial" w:hAnsi="Arial" w:cs="Arial"/>
          <w:sz w:val="15"/>
          <w:szCs w:val="10"/>
        </w:rPr>
        <w:t xml:space="preserve"> Hodges, 37-39.  He also notes, “It is an unproductive waste of time to employ the popular categories—intellect, emotion, or will—as a way of analyzing the mechanics of faith… But is [faith] </w:t>
      </w:r>
      <w:r w:rsidRPr="003972C1">
        <w:rPr>
          <w:rFonts w:ascii="Arial" w:hAnsi="Arial" w:cs="Arial"/>
          <w:i/>
          <w:sz w:val="15"/>
          <w:szCs w:val="10"/>
        </w:rPr>
        <w:t>mere</w:t>
      </w:r>
      <w:r w:rsidRPr="003972C1">
        <w:rPr>
          <w:rFonts w:ascii="Arial" w:hAnsi="Arial" w:cs="Arial"/>
          <w:sz w:val="15"/>
          <w:szCs w:val="10"/>
        </w:rPr>
        <w:t xml:space="preserve"> intellectual assent?  Of course not! . . .What faith is, in biblical language, is receiving the testimony of God.  It is the </w:t>
      </w:r>
      <w:r w:rsidRPr="003972C1">
        <w:rPr>
          <w:rFonts w:ascii="Arial" w:hAnsi="Arial" w:cs="Arial"/>
          <w:i/>
          <w:sz w:val="15"/>
          <w:szCs w:val="10"/>
        </w:rPr>
        <w:t>inward conviction</w:t>
      </w:r>
      <w:r w:rsidRPr="003972C1">
        <w:rPr>
          <w:rFonts w:ascii="Arial" w:hAnsi="Arial" w:cs="Arial"/>
          <w:sz w:val="15"/>
          <w:szCs w:val="10"/>
        </w:rPr>
        <w:t xml:space="preserve"> that what God says to us in the gospel is true.  That—and that alone—is saving faith” (Hodges, 31 </w:t>
      </w:r>
      <w:r w:rsidRPr="003972C1">
        <w:rPr>
          <w:rFonts w:ascii="Arial" w:hAnsi="Arial" w:cs="Arial"/>
          <w:i/>
          <w:sz w:val="15"/>
          <w:szCs w:val="10"/>
        </w:rPr>
        <w:t xml:space="preserve">italics </w:t>
      </w:r>
      <w:r w:rsidRPr="003972C1">
        <w:rPr>
          <w:rFonts w:ascii="Arial" w:hAnsi="Arial" w:cs="Arial"/>
          <w:sz w:val="15"/>
          <w:szCs w:val="10"/>
        </w:rPr>
        <w:t>his).</w:t>
      </w:r>
    </w:p>
  </w:endnote>
  <w:endnote w:id="5">
    <w:p w14:paraId="2A145F75"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Earl D. Radmacher, in MacArthur, </w:t>
      </w:r>
      <w:r w:rsidRPr="003972C1">
        <w:rPr>
          <w:rFonts w:ascii="Arial" w:hAnsi="Arial" w:cs="Arial"/>
          <w:i/>
          <w:sz w:val="15"/>
          <w:szCs w:val="10"/>
        </w:rPr>
        <w:t xml:space="preserve">Faith Works: The Gospel According to the Apostles </w:t>
      </w:r>
      <w:r w:rsidRPr="003972C1">
        <w:rPr>
          <w:rFonts w:ascii="Arial" w:hAnsi="Arial" w:cs="Arial"/>
          <w:sz w:val="15"/>
          <w:szCs w:val="10"/>
        </w:rPr>
        <w:t>(Dallas: Word, 1993), 38-39.</w:t>
      </w:r>
    </w:p>
  </w:endnote>
  <w:endnote w:id="6">
    <w:p w14:paraId="6A9ECFB0" w14:textId="77777777" w:rsidR="00F1499B" w:rsidRPr="003972C1" w:rsidRDefault="00F1499B" w:rsidP="00F1499B">
      <w:pPr>
        <w:pStyle w:val="EndnoteText"/>
        <w:ind w:firstLine="270"/>
        <w:rPr>
          <w:rStyle w:val="EndnoteReference"/>
          <w:rFonts w:ascii="Arial" w:hAnsi="Arial" w:cs="Arial"/>
          <w:sz w:val="15"/>
          <w:szCs w:val="10"/>
        </w:rPr>
      </w:pPr>
      <w:r w:rsidRPr="003972C1">
        <w:rPr>
          <w:rStyle w:val="EndnoteReference"/>
          <w:rFonts w:ascii="Arial" w:hAnsi="Arial" w:cs="Arial"/>
          <w:sz w:val="15"/>
          <w:szCs w:val="10"/>
        </w:rPr>
        <w:endnoteRef/>
      </w:r>
      <w:r w:rsidRPr="003972C1">
        <w:rPr>
          <w:rStyle w:val="EndnoteReference"/>
          <w:rFonts w:ascii="Arial" w:hAnsi="Arial" w:cs="Arial"/>
          <w:sz w:val="16"/>
          <w:szCs w:val="10"/>
        </w:rPr>
        <w:t xml:space="preserve"> </w:t>
      </w:r>
      <w:r w:rsidRPr="003972C1">
        <w:rPr>
          <w:rFonts w:ascii="Arial" w:hAnsi="Arial" w:cs="Arial"/>
          <w:sz w:val="15"/>
          <w:szCs w:val="10"/>
        </w:rPr>
        <w:t>Hodges, 40.</w:t>
      </w:r>
    </w:p>
  </w:endnote>
  <w:endnote w:id="7">
    <w:p w14:paraId="69927803"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MacArthur, </w:t>
      </w:r>
      <w:r w:rsidRPr="003972C1">
        <w:rPr>
          <w:rFonts w:ascii="Arial" w:hAnsi="Arial" w:cs="Arial"/>
          <w:i/>
          <w:sz w:val="15"/>
          <w:szCs w:val="10"/>
        </w:rPr>
        <w:t>Faith Works</w:t>
      </w:r>
      <w:r w:rsidRPr="003972C1">
        <w:rPr>
          <w:rFonts w:ascii="Arial" w:hAnsi="Arial" w:cs="Arial"/>
          <w:sz w:val="15"/>
          <w:szCs w:val="10"/>
        </w:rPr>
        <w:t xml:space="preserve">, 88; idem., </w:t>
      </w:r>
      <w:r w:rsidRPr="003972C1">
        <w:rPr>
          <w:rFonts w:ascii="Arial" w:hAnsi="Arial" w:cs="Arial"/>
          <w:i/>
          <w:sz w:val="15"/>
          <w:szCs w:val="10"/>
        </w:rPr>
        <w:t>The Gospel According to Jesus,</w:t>
      </w:r>
      <w:r w:rsidRPr="003972C1">
        <w:rPr>
          <w:rFonts w:ascii="Arial" w:hAnsi="Arial" w:cs="Arial"/>
          <w:sz w:val="15"/>
          <w:szCs w:val="10"/>
        </w:rPr>
        <w:t xml:space="preserve"> 164; cf. Gentry, </w:t>
      </w:r>
      <w:r w:rsidRPr="003972C1">
        <w:rPr>
          <w:rFonts w:ascii="Arial" w:hAnsi="Arial" w:cs="Arial"/>
          <w:i/>
          <w:sz w:val="15"/>
          <w:szCs w:val="10"/>
        </w:rPr>
        <w:t>Lord of the Saved</w:t>
      </w:r>
      <w:r w:rsidRPr="003972C1">
        <w:rPr>
          <w:rFonts w:ascii="Arial" w:hAnsi="Arial" w:cs="Arial"/>
          <w:sz w:val="15"/>
          <w:szCs w:val="10"/>
        </w:rPr>
        <w:t>, 46-47.</w:t>
      </w:r>
    </w:p>
  </w:endnote>
  <w:endnote w:id="8">
    <w:p w14:paraId="33130C91"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Ryrie, 99; cf. Thomas L. Constable, “The Gospel Message,” </w:t>
      </w:r>
      <w:r w:rsidRPr="003972C1">
        <w:rPr>
          <w:rFonts w:ascii="Arial" w:hAnsi="Arial" w:cs="Arial"/>
          <w:i/>
          <w:sz w:val="15"/>
          <w:szCs w:val="10"/>
        </w:rPr>
        <w:t>Walvoord: A Tribute</w:t>
      </w:r>
      <w:r w:rsidRPr="003972C1">
        <w:rPr>
          <w:rFonts w:ascii="Arial" w:hAnsi="Arial" w:cs="Arial"/>
          <w:sz w:val="15"/>
          <w:szCs w:val="10"/>
        </w:rPr>
        <w:t xml:space="preserve">, ed. Donald Campbell (Chicago: Moody, 1982), 207-8; Livingston Blauvelt, Jr., “Does the Bible Teach Lordship Salvation?” </w:t>
      </w:r>
      <w:r w:rsidRPr="003972C1">
        <w:rPr>
          <w:rFonts w:ascii="Arial" w:hAnsi="Arial" w:cs="Arial"/>
          <w:i/>
          <w:sz w:val="15"/>
          <w:szCs w:val="10"/>
        </w:rPr>
        <w:t>Bibliotheca Sacra</w:t>
      </w:r>
      <w:r w:rsidRPr="003972C1">
        <w:rPr>
          <w:rFonts w:ascii="Arial" w:hAnsi="Arial" w:cs="Arial"/>
          <w:sz w:val="15"/>
          <w:szCs w:val="10"/>
        </w:rPr>
        <w:t xml:space="preserve"> 143 (Jan.-Mar. 1986), 41-42; Robert P. Lightner, </w:t>
      </w:r>
      <w:r w:rsidRPr="003972C1">
        <w:rPr>
          <w:rFonts w:ascii="Arial" w:hAnsi="Arial" w:cs="Arial"/>
          <w:i/>
          <w:sz w:val="15"/>
          <w:szCs w:val="10"/>
        </w:rPr>
        <w:t>Sin, the Savior, and Salvation</w:t>
      </w:r>
      <w:r w:rsidRPr="003972C1">
        <w:rPr>
          <w:rFonts w:ascii="Arial" w:hAnsi="Arial" w:cs="Arial"/>
          <w:sz w:val="15"/>
          <w:szCs w:val="10"/>
        </w:rPr>
        <w:t xml:space="preserve"> (Nashville: Nelson, 1991), 212.</w:t>
      </w:r>
    </w:p>
  </w:endnote>
  <w:endnote w:id="9">
    <w:p w14:paraId="7CD5EBB7" w14:textId="77777777" w:rsidR="00F1499B" w:rsidRPr="003972C1" w:rsidRDefault="00F1499B" w:rsidP="00F1499B">
      <w:pPr>
        <w:pStyle w:val="EndnoteText"/>
        <w:ind w:firstLine="270"/>
        <w:rPr>
          <w:rStyle w:val="EndnoteReference"/>
          <w:rFonts w:ascii="Arial" w:hAnsi="Arial" w:cs="Arial"/>
          <w:sz w:val="15"/>
          <w:szCs w:val="10"/>
        </w:rPr>
      </w:pPr>
      <w:r w:rsidRPr="003972C1">
        <w:rPr>
          <w:rStyle w:val="EndnoteReference"/>
          <w:rFonts w:ascii="Arial" w:hAnsi="Arial" w:cs="Arial"/>
          <w:sz w:val="15"/>
          <w:szCs w:val="10"/>
        </w:rPr>
        <w:endnoteRef/>
      </w:r>
      <w:r w:rsidRPr="003972C1">
        <w:rPr>
          <w:rStyle w:val="EndnoteReference"/>
          <w:rFonts w:ascii="Arial" w:hAnsi="Arial" w:cs="Arial"/>
          <w:sz w:val="15"/>
          <w:szCs w:val="10"/>
        </w:rPr>
        <w:t xml:space="preserve"> </w:t>
      </w:r>
      <w:r w:rsidRPr="003972C1">
        <w:rPr>
          <w:rFonts w:ascii="Arial" w:hAnsi="Arial" w:cs="Arial"/>
          <w:sz w:val="15"/>
          <w:szCs w:val="10"/>
        </w:rPr>
        <w:t xml:space="preserve">Hodges, 146 (italics his).  On this page he notes that while repentance is not a condition for </w:t>
      </w:r>
      <w:r w:rsidRPr="003972C1">
        <w:rPr>
          <w:rFonts w:ascii="Arial" w:hAnsi="Arial" w:cs="Arial"/>
          <w:i/>
          <w:sz w:val="15"/>
          <w:szCs w:val="10"/>
        </w:rPr>
        <w:t>salvation</w:t>
      </w:r>
      <w:r w:rsidRPr="003972C1">
        <w:rPr>
          <w:rFonts w:ascii="Arial" w:hAnsi="Arial" w:cs="Arial"/>
          <w:sz w:val="15"/>
          <w:szCs w:val="10"/>
        </w:rPr>
        <w:t xml:space="preserve">, it is a condition for </w:t>
      </w:r>
      <w:r w:rsidRPr="003972C1">
        <w:rPr>
          <w:rFonts w:ascii="Arial" w:hAnsi="Arial" w:cs="Arial"/>
          <w:i/>
          <w:sz w:val="15"/>
          <w:szCs w:val="10"/>
        </w:rPr>
        <w:t>fellowship</w:t>
      </w:r>
      <w:r w:rsidRPr="003972C1">
        <w:rPr>
          <w:rFonts w:ascii="Arial" w:hAnsi="Arial" w:cs="Arial"/>
          <w:sz w:val="15"/>
          <w:szCs w:val="10"/>
        </w:rPr>
        <w:t xml:space="preserve"> with God.  He also notes that, while John’s gospel explicitly claims to do evangelism (20:30-31), it never once mentions repentance (Hodges, 147-48)!</w:t>
      </w:r>
    </w:p>
  </w:endnote>
  <w:endnote w:id="10">
    <w:p w14:paraId="35C0D1E7"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The Lordship view claims that saving faith should not be contrasted with discipleship, including “repentance, surrender, and the supernatural eagerness to obey” (MacArthur, 30-31).  Since believers in Acts were called disciples and the church’s commission is to make disciples (Matt. 28:19-20), he sees little if any distinction between the two.</w:t>
      </w:r>
    </w:p>
  </w:endnote>
  <w:endnote w:id="11">
    <w:p w14:paraId="41415F83"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Non-Lordship advocates often note that faith is a gift but discipleship is costly (e.g., Hodges, 67-76).</w:t>
      </w:r>
    </w:p>
  </w:endnote>
  <w:endnote w:id="12">
    <w:p w14:paraId="03FA0135"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“Faith encompasses obedience” and “obedience is… an integral part of saving faith” (MacArthur, </w:t>
      </w:r>
      <w:r w:rsidRPr="003972C1">
        <w:rPr>
          <w:rFonts w:ascii="Arial" w:hAnsi="Arial" w:cs="Arial"/>
          <w:i/>
          <w:sz w:val="15"/>
          <w:szCs w:val="10"/>
        </w:rPr>
        <w:t>The Gospel According to Jesus,</w:t>
      </w:r>
      <w:r w:rsidRPr="003972C1">
        <w:rPr>
          <w:rFonts w:ascii="Arial" w:hAnsi="Arial" w:cs="Arial"/>
          <w:sz w:val="15"/>
          <w:szCs w:val="10"/>
        </w:rPr>
        <w:t xml:space="preserve"> 173, 174).</w:t>
      </w:r>
    </w:p>
  </w:endnote>
  <w:endnote w:id="13">
    <w:p w14:paraId="290CEED9"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MacArthur, </w:t>
      </w:r>
      <w:r w:rsidRPr="003972C1">
        <w:rPr>
          <w:rFonts w:ascii="Arial" w:hAnsi="Arial" w:cs="Arial"/>
          <w:i/>
          <w:sz w:val="15"/>
          <w:szCs w:val="10"/>
        </w:rPr>
        <w:t>The Gospel According to Jesus</w:t>
      </w:r>
      <w:r w:rsidRPr="003972C1">
        <w:rPr>
          <w:rFonts w:ascii="Arial" w:hAnsi="Arial" w:cs="Arial"/>
          <w:sz w:val="15"/>
          <w:szCs w:val="10"/>
        </w:rPr>
        <w:t xml:space="preserve"> 206-10; Gentry, </w:t>
      </w:r>
      <w:r w:rsidRPr="003972C1">
        <w:rPr>
          <w:rFonts w:ascii="Arial" w:hAnsi="Arial" w:cs="Arial"/>
          <w:i/>
          <w:sz w:val="15"/>
          <w:szCs w:val="10"/>
        </w:rPr>
        <w:t>Lord of the Saved</w:t>
      </w:r>
      <w:r w:rsidRPr="003972C1">
        <w:rPr>
          <w:rFonts w:ascii="Arial" w:hAnsi="Arial" w:cs="Arial"/>
          <w:sz w:val="15"/>
          <w:szCs w:val="10"/>
        </w:rPr>
        <w:t>, 59-65.</w:t>
      </w:r>
    </w:p>
  </w:endnote>
  <w:endnote w:id="14">
    <w:p w14:paraId="7033D531"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Texts relating to salvation often employ the meaning of deity when the word “Lord” is used  (e.g., Rom. 10:9; 1 Cor. 12:3; Ryrie, 70, 73; ibid., </w:t>
      </w:r>
      <w:r w:rsidRPr="003972C1">
        <w:rPr>
          <w:rFonts w:ascii="Arial" w:hAnsi="Arial" w:cs="Arial"/>
          <w:i/>
          <w:sz w:val="15"/>
          <w:szCs w:val="10"/>
        </w:rPr>
        <w:t>Balancing the Christian Life</w:t>
      </w:r>
      <w:r w:rsidRPr="003972C1">
        <w:rPr>
          <w:rFonts w:ascii="Arial" w:hAnsi="Arial" w:cs="Arial"/>
          <w:sz w:val="15"/>
          <w:szCs w:val="10"/>
        </w:rPr>
        <w:t xml:space="preserve"> [Chicago: Moody, 1969], 173-76).  While this certainly includes the concept of sovereign ruler, the difficulty with the Lordship view is that people accept his personal lordship to varying degrees</w:t>
      </w:r>
      <w:r w:rsidRPr="003972C1">
        <w:rPr>
          <w:rFonts w:ascii="Arial" w:hAnsi="Arial" w:cs="Arial"/>
          <w:sz w:val="15"/>
          <w:szCs w:val="10"/>
        </w:rPr>
        <w:softHyphen/>
        <w:t>, so how much submission is enough for salvation?</w:t>
      </w:r>
    </w:p>
  </w:endnote>
  <w:endnote w:id="15">
    <w:p w14:paraId="0F86BB41"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MacArthur, </w:t>
      </w:r>
      <w:r w:rsidRPr="003972C1">
        <w:rPr>
          <w:rFonts w:ascii="Arial" w:hAnsi="Arial" w:cs="Arial"/>
          <w:i/>
          <w:sz w:val="15"/>
          <w:szCs w:val="10"/>
        </w:rPr>
        <w:t>The Gospel According to Jesus,</w:t>
      </w:r>
      <w:r w:rsidRPr="003972C1">
        <w:rPr>
          <w:rFonts w:ascii="Arial" w:hAnsi="Arial" w:cs="Arial"/>
          <w:sz w:val="15"/>
          <w:szCs w:val="10"/>
        </w:rPr>
        <w:t xml:space="preserve"> 17.</w:t>
      </w:r>
    </w:p>
  </w:endnote>
  <w:endnote w:id="16">
    <w:p w14:paraId="3ECA693B"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Ryrie, 141.</w:t>
      </w:r>
    </w:p>
  </w:endnote>
  <w:endnote w:id="17">
    <w:p w14:paraId="7633D43F"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Hodges, 107-11.</w:t>
      </w:r>
    </w:p>
  </w:endnote>
  <w:endnote w:id="18">
    <w:p w14:paraId="3D627098"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All three positions above teach “once saved, always saved” (i.e., eternal security).  While noting that assurance is available based upon scriptural promises, MacArthur also claims that it is conditioned upon the pursuit of holiness and the fruit of the Spirit (</w:t>
      </w:r>
      <w:r w:rsidRPr="003972C1">
        <w:rPr>
          <w:rFonts w:ascii="Arial" w:hAnsi="Arial" w:cs="Arial"/>
          <w:i/>
          <w:sz w:val="15"/>
          <w:szCs w:val="10"/>
        </w:rPr>
        <w:t>Faith Works,</w:t>
      </w:r>
      <w:r w:rsidRPr="003972C1">
        <w:rPr>
          <w:rFonts w:ascii="Arial" w:hAnsi="Arial" w:cs="Arial"/>
          <w:sz w:val="15"/>
          <w:szCs w:val="10"/>
        </w:rPr>
        <w:t xml:space="preserve"> 202-12).</w:t>
      </w:r>
    </w:p>
  </w:endnote>
  <w:endnote w:id="19">
    <w:p w14:paraId="04864CDE"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Some see assurance as primarily based on the promises of God’s Word but secondarily based on the evidence of a transformed life (Ryrie, 143-44; cf. Lightner, 244-47).</w:t>
      </w:r>
    </w:p>
  </w:endnote>
  <w:endnote w:id="20">
    <w:p w14:paraId="2F3F855D"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Hodges, 93-99; idem., </w:t>
      </w:r>
      <w:r w:rsidRPr="003972C1">
        <w:rPr>
          <w:rFonts w:ascii="Arial" w:hAnsi="Arial" w:cs="Arial"/>
          <w:i/>
          <w:sz w:val="15"/>
          <w:szCs w:val="10"/>
        </w:rPr>
        <w:t>The Gospel Under Siege</w:t>
      </w:r>
      <w:r w:rsidRPr="003972C1">
        <w:rPr>
          <w:rFonts w:ascii="Arial" w:hAnsi="Arial" w:cs="Arial"/>
          <w:sz w:val="15"/>
          <w:szCs w:val="10"/>
        </w:rPr>
        <w:t xml:space="preserve"> (Dallas: Redecion Viva, 1981), 10.  This is not to say that believers should not grow in their assurance by seeing their own spiritual growth (Heb. 6:11; 2 Pet. 1:5-11).  However, assurance and security must be distinguished.  Eternal security is the absolute certainty of a person’s salvation from God’s perspective.  Assurance is the believer’s awareness of his eternal security.</w:t>
      </w:r>
    </w:p>
  </w:endnote>
  <w:endnote w:id="21">
    <w:p w14:paraId="32EC1AC6"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Perseverance means that “those who have true faith can lose that faith neither totally nor finally,” as defined by Anthony A. Hoekema, </w:t>
      </w:r>
      <w:r w:rsidRPr="003972C1">
        <w:rPr>
          <w:rFonts w:ascii="Arial" w:hAnsi="Arial" w:cs="Arial"/>
          <w:i/>
          <w:sz w:val="15"/>
          <w:szCs w:val="10"/>
        </w:rPr>
        <w:t>Saved by Grace</w:t>
      </w:r>
      <w:r w:rsidRPr="003972C1">
        <w:rPr>
          <w:rFonts w:ascii="Arial" w:hAnsi="Arial" w:cs="Arial"/>
          <w:sz w:val="15"/>
          <w:szCs w:val="10"/>
        </w:rPr>
        <w:t xml:space="preserve"> (Grand Rapids: Eerdmans, 1989): 234.  Agreeing with this definition is John F. MacArthur, “Perseverance of the Saints,” </w:t>
      </w:r>
      <w:r w:rsidRPr="003972C1">
        <w:rPr>
          <w:rFonts w:ascii="Arial" w:hAnsi="Arial" w:cs="Arial"/>
          <w:i/>
          <w:sz w:val="15"/>
          <w:szCs w:val="10"/>
        </w:rPr>
        <w:t>Master’s Journal</w:t>
      </w:r>
      <w:r w:rsidRPr="003972C1">
        <w:rPr>
          <w:rFonts w:ascii="Arial" w:hAnsi="Arial" w:cs="Arial"/>
          <w:sz w:val="15"/>
          <w:szCs w:val="10"/>
        </w:rPr>
        <w:t xml:space="preserve"> 4 (Spring 1993): 8.</w:t>
      </w:r>
    </w:p>
  </w:endnote>
  <w:endnote w:id="22">
    <w:p w14:paraId="26CBFD8A"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MacArthur teaches perseverance by saying that true saving faith endures since “believe” in the present tense shows continuous action and the abiding quality of faith as a gift given by God (</w:t>
      </w:r>
      <w:r w:rsidRPr="003972C1">
        <w:rPr>
          <w:rFonts w:ascii="Arial" w:hAnsi="Arial" w:cs="Arial"/>
          <w:i/>
          <w:sz w:val="15"/>
          <w:szCs w:val="10"/>
        </w:rPr>
        <w:t>The Gospel According to Jesus,</w:t>
      </w:r>
      <w:r w:rsidRPr="003972C1">
        <w:rPr>
          <w:rFonts w:ascii="Arial" w:hAnsi="Arial" w:cs="Arial"/>
          <w:sz w:val="15"/>
          <w:szCs w:val="10"/>
        </w:rPr>
        <w:t xml:space="preserve"> 172-73).  </w:t>
      </w:r>
    </w:p>
  </w:endnote>
  <w:endnote w:id="23">
    <w:p w14:paraId="7ACA6847" w14:textId="77777777" w:rsidR="00F1499B" w:rsidRPr="003972C1" w:rsidRDefault="00F1499B" w:rsidP="00F1499B">
      <w:pPr>
        <w:pStyle w:val="EndnoteText"/>
        <w:ind w:firstLine="270"/>
        <w:rPr>
          <w:rStyle w:val="EndnoteReference"/>
          <w:rFonts w:ascii="Arial" w:hAnsi="Arial" w:cs="Arial"/>
          <w:sz w:val="15"/>
          <w:szCs w:val="10"/>
        </w:rPr>
      </w:pPr>
      <w:r w:rsidRPr="003972C1">
        <w:rPr>
          <w:rStyle w:val="EndnoteReference"/>
          <w:rFonts w:ascii="Arial" w:hAnsi="Arial" w:cs="Arial"/>
          <w:sz w:val="15"/>
          <w:szCs w:val="10"/>
        </w:rPr>
        <w:endnoteRef/>
      </w:r>
      <w:r w:rsidRPr="003972C1">
        <w:rPr>
          <w:rStyle w:val="EndnoteReference"/>
          <w:rFonts w:ascii="Arial" w:hAnsi="Arial" w:cs="Arial"/>
          <w:sz w:val="15"/>
          <w:szCs w:val="10"/>
        </w:rPr>
        <w:t xml:space="preserve"> </w:t>
      </w:r>
      <w:r w:rsidRPr="003972C1">
        <w:rPr>
          <w:rFonts w:ascii="Arial" w:hAnsi="Arial" w:cs="Arial"/>
          <w:sz w:val="15"/>
          <w:szCs w:val="10"/>
        </w:rPr>
        <w:t>Perseverance is rejected but eternal security is accepted.</w:t>
      </w:r>
    </w:p>
  </w:endnote>
  <w:endnote w:id="24">
    <w:p w14:paraId="420F6122"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“The concept of the ‘carnal Christian’ as a separate category of believers is not only misleading but harmful” (Hoekema, </w:t>
      </w:r>
      <w:r w:rsidRPr="003972C1">
        <w:rPr>
          <w:rFonts w:ascii="Arial" w:hAnsi="Arial" w:cs="Arial"/>
          <w:i/>
          <w:sz w:val="15"/>
          <w:szCs w:val="10"/>
        </w:rPr>
        <w:t>Saved by Grace</w:t>
      </w:r>
      <w:r w:rsidRPr="003972C1">
        <w:rPr>
          <w:rFonts w:ascii="Arial" w:hAnsi="Arial" w:cs="Arial"/>
          <w:sz w:val="15"/>
          <w:szCs w:val="10"/>
        </w:rPr>
        <w:t xml:space="preserve">, 21).  This “theory” is “one of the most perverse teachings of our generation” (Ernest C. Reisinger, </w:t>
      </w:r>
      <w:r w:rsidRPr="003972C1">
        <w:rPr>
          <w:rFonts w:ascii="Arial" w:hAnsi="Arial" w:cs="Arial"/>
          <w:i/>
          <w:sz w:val="15"/>
          <w:szCs w:val="10"/>
        </w:rPr>
        <w:t xml:space="preserve">Lord and Christ: The Implications of Lordship for Faith and Life </w:t>
      </w:r>
      <w:r w:rsidRPr="003972C1">
        <w:rPr>
          <w:rFonts w:ascii="Arial" w:hAnsi="Arial" w:cs="Arial"/>
          <w:sz w:val="15"/>
          <w:szCs w:val="10"/>
        </w:rPr>
        <w:t>[Phillipsburg, PA: Presbyterian &amp; Reformed, 1992], 79).</w:t>
      </w:r>
    </w:p>
  </w:endnote>
  <w:endnote w:id="25">
    <w:p w14:paraId="630E1A0F"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This believer is not the same as a non-Christian since he is included in the “we all… are being transformed into the same image from glory to glory” (2 Cor. 3:18).  Nevertheless, Paul says the carnal Christian does exist (1 Cor. 2:14-3:3), but since he is a “new creature” (2 Cor. 5:7) he will bear </w:t>
      </w:r>
      <w:r w:rsidRPr="003972C1">
        <w:rPr>
          <w:rFonts w:ascii="Arial" w:hAnsi="Arial" w:cs="Arial"/>
          <w:i/>
          <w:sz w:val="15"/>
          <w:szCs w:val="10"/>
        </w:rPr>
        <w:t xml:space="preserve">some </w:t>
      </w:r>
      <w:r w:rsidRPr="003972C1">
        <w:rPr>
          <w:rFonts w:ascii="Arial" w:hAnsi="Arial" w:cs="Arial"/>
          <w:sz w:val="15"/>
          <w:szCs w:val="10"/>
        </w:rPr>
        <w:t>fruit (Ryrie, 32-32).</w:t>
      </w:r>
    </w:p>
  </w:endnote>
  <w:endnote w:id="26">
    <w:p w14:paraId="2F0AA0F2"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MacArthur, </w:t>
      </w:r>
      <w:r w:rsidRPr="003972C1">
        <w:rPr>
          <w:rFonts w:ascii="Arial" w:hAnsi="Arial" w:cs="Arial"/>
          <w:i/>
          <w:sz w:val="15"/>
          <w:szCs w:val="10"/>
        </w:rPr>
        <w:t>The Gospel According to Jesus,</w:t>
      </w:r>
      <w:r w:rsidRPr="003972C1">
        <w:rPr>
          <w:rFonts w:ascii="Arial" w:hAnsi="Arial" w:cs="Arial"/>
          <w:sz w:val="15"/>
          <w:szCs w:val="10"/>
        </w:rPr>
        <w:t xml:space="preserve"> 17.</w:t>
      </w:r>
    </w:p>
  </w:endnote>
  <w:endnote w:id="27">
    <w:p w14:paraId="45CD222E"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Gleason, 380.</w:t>
      </w:r>
    </w:p>
  </w:endnote>
  <w:endnote w:id="28">
    <w:p w14:paraId="69A51660"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MacArthur raises the standard for “saving faith” too high: “It clings to no cherished sins, no treasured possessions, no secret indulgences.  It is an unconditional surrender, a willingness to do anything the Lord demands… It is a total abandonment of self-will, like the grain of wheat that falls to the ground and dies so that it can bear much fruit (cf. John 12:24).  It is an exchange of all that we are for all that Christ is.  And it denotes obedience, full surrender to the lordship of Christ.  Nothing less can qualify as saving faith” (MacArthur, </w:t>
      </w:r>
      <w:r w:rsidRPr="003972C1">
        <w:rPr>
          <w:rFonts w:ascii="Arial" w:hAnsi="Arial" w:cs="Arial"/>
          <w:i/>
          <w:sz w:val="15"/>
          <w:szCs w:val="10"/>
        </w:rPr>
        <w:t>The Gospel According to Jesus</w:t>
      </w:r>
      <w:r w:rsidRPr="003972C1">
        <w:rPr>
          <w:rFonts w:ascii="Arial" w:hAnsi="Arial" w:cs="Arial"/>
          <w:sz w:val="15"/>
          <w:szCs w:val="10"/>
        </w:rPr>
        <w:t xml:space="preserve"> 140).  He summarizes, “Faith obeys.  Unbelief rebels… There is no middle ground” (ibid., 178).  One wonders if </w:t>
      </w:r>
      <w:r w:rsidRPr="003972C1">
        <w:rPr>
          <w:rFonts w:ascii="Arial" w:hAnsi="Arial" w:cs="Arial"/>
          <w:i/>
          <w:sz w:val="15"/>
          <w:szCs w:val="10"/>
        </w:rPr>
        <w:t>anyone</w:t>
      </w:r>
      <w:r w:rsidRPr="003972C1">
        <w:rPr>
          <w:rFonts w:ascii="Arial" w:hAnsi="Arial" w:cs="Arial"/>
          <w:sz w:val="15"/>
          <w:szCs w:val="10"/>
        </w:rPr>
        <w:t xml:space="preserve"> has the faith MacArthur describes.  Besides, Scripture has many examples of Christians who have immature faith.  The believer’s faith must grow and mature (James 1:2-4).  Moses was a man of great faith but he was disciplined for his rebellion (Num. 14:9; Deut. 9:23-24).  Christ even called the disciples men “of little faith” (Matt. 8:26).  Since believers often rebel, God disciplines (Heb. 12:4-13) and uses trials (1 Pet. 1:6-7) to mature their faith.</w:t>
      </w:r>
    </w:p>
  </w:endnote>
  <w:endnote w:id="29">
    <w:p w14:paraId="7D584EA4"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As Christ is not the Lord of anyone in the complete sense, it is almost arbitrary to say whether someone has sufficiently accepted Him as Lord.</w:t>
      </w:r>
    </w:p>
  </w:endnote>
  <w:endnote w:id="30">
    <w:p w14:paraId="3FCDEDC1"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Both Scripture and the experiences of believers show many persons who were genuinely saved and yet failed to follow Christ throughout life.  These will suffer loss of reward at the judgment seat of Christ and “be saved… as through fire” (1 Cor. 3:15).  A classic example is Lot, who compromised his faith in God (Gen. 19) but still was deemed righteous in God’s sight in 2 Peter 2:7-8 (see Ryrie, </w:t>
      </w:r>
      <w:r w:rsidRPr="003972C1">
        <w:rPr>
          <w:rFonts w:ascii="Arial" w:hAnsi="Arial" w:cs="Arial"/>
          <w:i/>
          <w:sz w:val="15"/>
          <w:szCs w:val="10"/>
        </w:rPr>
        <w:t>Balancing the Christian Life</w:t>
      </w:r>
      <w:r w:rsidRPr="003972C1">
        <w:rPr>
          <w:rFonts w:ascii="Arial" w:hAnsi="Arial" w:cs="Arial"/>
          <w:sz w:val="15"/>
          <w:szCs w:val="10"/>
        </w:rPr>
        <w:t>, 173).</w:t>
      </w:r>
    </w:p>
  </w:endnote>
  <w:endnote w:id="31">
    <w:p w14:paraId="5A26C879"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The sin unto death (1 John 5:16, KJV) is a sin in the life of a believer so severe that God disciplines him by taking him to heaven by loss of physical life.  Such was the case with the Exodus generation (Deut. 2:14), a sexually immoral man who would potentially die so that his “spirit may be saved” (1 Cor. 5:5), and believers abusing the Lord’s Table (1 Cor. 11:30).  MacArthur does not address this issue but insists that the sign of a true disciple is “when he does sin he </w:t>
      </w:r>
      <w:r w:rsidRPr="003972C1">
        <w:rPr>
          <w:rFonts w:ascii="Arial" w:hAnsi="Arial" w:cs="Arial"/>
          <w:i/>
          <w:sz w:val="15"/>
          <w:szCs w:val="10"/>
        </w:rPr>
        <w:t>inevitably returns</w:t>
      </w:r>
      <w:r w:rsidRPr="003972C1">
        <w:rPr>
          <w:rFonts w:ascii="Arial" w:hAnsi="Arial" w:cs="Arial"/>
          <w:sz w:val="15"/>
          <w:szCs w:val="10"/>
        </w:rPr>
        <w:t xml:space="preserve"> to the Lord to receive forgiveness and cleansing” (</w:t>
      </w:r>
      <w:r w:rsidRPr="003972C1">
        <w:rPr>
          <w:rFonts w:ascii="Arial" w:hAnsi="Arial" w:cs="Arial"/>
          <w:i/>
          <w:sz w:val="15"/>
          <w:szCs w:val="10"/>
        </w:rPr>
        <w:t>The Gospel According to Jesus</w:t>
      </w:r>
      <w:r w:rsidRPr="003972C1">
        <w:rPr>
          <w:rFonts w:ascii="Arial" w:hAnsi="Arial" w:cs="Arial"/>
          <w:sz w:val="15"/>
          <w:szCs w:val="10"/>
        </w:rPr>
        <w:t>, 104, emphasis mine).  If MacArthur is correct, then why does God take the lives of some believers hopelessly caught in sin?</w:t>
      </w:r>
    </w:p>
  </w:endnote>
  <w:endnote w:id="32">
    <w:p w14:paraId="1CE5AF1D"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Acts 26:20; 2 Cor. 12:21; Rev. 2:21-22.</w:t>
      </w:r>
    </w:p>
  </w:endnote>
  <w:endnote w:id="33">
    <w:p w14:paraId="327BA741"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Christ commanded his disciples to preach repentance (Luke 24:47).  Peter and Paul preached repentance throughout their ministries (Acts 2:38; 3:19; 5:31; 8:22; 11:18; 17:30; 20:21; 26:20).</w:t>
      </w:r>
    </w:p>
  </w:endnote>
  <w:endnote w:id="34">
    <w:p w14:paraId="4CCC3989" w14:textId="77777777" w:rsidR="00F1499B" w:rsidRPr="003972C1" w:rsidRDefault="00F1499B" w:rsidP="00F1499B">
      <w:pPr>
        <w:pStyle w:val="EndnoteText"/>
        <w:ind w:firstLine="270"/>
        <w:rPr>
          <w:rFonts w:ascii="Arial" w:hAnsi="Arial" w:cs="Arial"/>
          <w:sz w:val="15"/>
          <w:szCs w:val="10"/>
        </w:rPr>
      </w:pPr>
      <w:r w:rsidRPr="003972C1">
        <w:rPr>
          <w:rStyle w:val="EndnoteReference"/>
          <w:rFonts w:ascii="Arial" w:hAnsi="Arial" w:cs="Arial"/>
          <w:sz w:val="15"/>
          <w:szCs w:val="10"/>
        </w:rPr>
        <w:endnoteRef/>
      </w:r>
      <w:r w:rsidRPr="003972C1">
        <w:rPr>
          <w:rFonts w:ascii="Arial" w:hAnsi="Arial" w:cs="Arial"/>
          <w:sz w:val="15"/>
          <w:szCs w:val="10"/>
        </w:rPr>
        <w:t xml:space="preserve"> Mark 1:15; Acts 11:17-18; 19:4; 20:21; Heb. 6:1.</w:t>
      </w:r>
    </w:p>
  </w:endnote>
  <w:endnote w:id="35">
    <w:p w14:paraId="51C81D34" w14:textId="77777777" w:rsidR="00F1499B" w:rsidRPr="003972C1" w:rsidRDefault="00F1499B" w:rsidP="00F1499B">
      <w:pPr>
        <w:pStyle w:val="EndnoteText"/>
        <w:ind w:firstLine="270"/>
        <w:rPr>
          <w:rFonts w:ascii="Arial" w:hAnsi="Arial" w:cs="Arial"/>
          <w:sz w:val="21"/>
          <w:szCs w:val="15"/>
        </w:rPr>
      </w:pPr>
      <w:r w:rsidRPr="003972C1">
        <w:rPr>
          <w:rStyle w:val="EndnoteReference"/>
          <w:rFonts w:ascii="Arial" w:hAnsi="Arial" w:cs="Arial"/>
          <w:sz w:val="15"/>
          <w:szCs w:val="10"/>
        </w:rPr>
        <w:endnoteRef/>
      </w:r>
      <w:r w:rsidRPr="003972C1">
        <w:rPr>
          <w:rFonts w:ascii="Arial" w:hAnsi="Arial" w:cs="Arial"/>
          <w:sz w:val="15"/>
          <w:szCs w:val="10"/>
        </w:rPr>
        <w:t xml:space="preserve"> As only faith is sometimes noted as necessary for salvation (John 3:16; 6:28-29; Acts 13:39; 16:31; Rom. 10:9), so repentance alone is required in other verses (Acts 2:38-47; 3:19; 11:17-18).  This shows that the two are opposite sides of the same coin.  Such a view is supported in the Dallas Theological Seminary doctrinal statement.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E324" w14:textId="77777777" w:rsidR="00F1499B" w:rsidRPr="00C9604D" w:rsidRDefault="00F1499B" w:rsidP="00F1499B">
    <w:pPr>
      <w:pStyle w:val="Footer"/>
      <w:jc w:val="right"/>
      <w:rPr>
        <w:sz w:val="12"/>
        <w:szCs w:val="16"/>
      </w:rPr>
    </w:pPr>
    <w:r w:rsidRPr="00C9604D">
      <w:rPr>
        <w:sz w:val="12"/>
        <w:szCs w:val="16"/>
      </w:rPr>
      <w:fldChar w:fldCharType="begin"/>
    </w:r>
    <w:r w:rsidRPr="00C9604D">
      <w:rPr>
        <w:sz w:val="12"/>
        <w:szCs w:val="16"/>
      </w:rPr>
      <w:instrText xml:space="preserve"> DATE \@ "d-MMM-yy" </w:instrText>
    </w:r>
    <w:r w:rsidRPr="00C9604D">
      <w:rPr>
        <w:sz w:val="12"/>
        <w:szCs w:val="16"/>
      </w:rPr>
      <w:fldChar w:fldCharType="separate"/>
    </w:r>
    <w:r w:rsidR="00F90AE5">
      <w:rPr>
        <w:noProof/>
        <w:sz w:val="12"/>
        <w:szCs w:val="16"/>
      </w:rPr>
      <w:t>27-Mar-25</w:t>
    </w:r>
    <w:r w:rsidRPr="00C9604D">
      <w:rPr>
        <w:sz w:val="12"/>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5BD2" w14:textId="77777777" w:rsidR="00F1499B" w:rsidRPr="004C1928" w:rsidRDefault="00F1499B" w:rsidP="00F1499B">
    <w:pPr>
      <w:pStyle w:val="Footer"/>
      <w:jc w:val="right"/>
      <w:rPr>
        <w:sz w:val="12"/>
        <w:szCs w:val="16"/>
      </w:rPr>
    </w:pPr>
    <w:r w:rsidRPr="004C1928">
      <w:rPr>
        <w:sz w:val="12"/>
        <w:szCs w:val="16"/>
      </w:rPr>
      <w:fldChar w:fldCharType="begin"/>
    </w:r>
    <w:r w:rsidRPr="004C1928">
      <w:rPr>
        <w:sz w:val="12"/>
        <w:szCs w:val="16"/>
      </w:rPr>
      <w:instrText xml:space="preserve"> DATE \@ "d-MMM-yy" </w:instrText>
    </w:r>
    <w:r w:rsidRPr="004C1928">
      <w:rPr>
        <w:sz w:val="12"/>
        <w:szCs w:val="16"/>
      </w:rPr>
      <w:fldChar w:fldCharType="separate"/>
    </w:r>
    <w:r w:rsidR="00F90AE5">
      <w:rPr>
        <w:noProof/>
        <w:sz w:val="12"/>
        <w:szCs w:val="16"/>
      </w:rPr>
      <w:t>27-Mar-25</w:t>
    </w:r>
    <w:r w:rsidRPr="004C1928">
      <w:rPr>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002B" w14:textId="77777777" w:rsidR="00C41CAC" w:rsidRDefault="00C41CAC">
      <w:r>
        <w:separator/>
      </w:r>
    </w:p>
  </w:footnote>
  <w:footnote w:type="continuationSeparator" w:id="0">
    <w:p w14:paraId="6B4B9713" w14:textId="77777777" w:rsidR="00C41CAC" w:rsidRDefault="00C4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008B" w14:textId="77777777" w:rsidR="00F1499B" w:rsidRPr="00F90AE5" w:rsidRDefault="00F1499B" w:rsidP="00F1499B">
    <w:pPr>
      <w:pStyle w:val="Header"/>
      <w:tabs>
        <w:tab w:val="clear" w:pos="4320"/>
        <w:tab w:val="clear" w:pos="8640"/>
        <w:tab w:val="center" w:pos="4770"/>
        <w:tab w:val="right" w:pos="9630"/>
      </w:tabs>
      <w:rPr>
        <w:rFonts w:ascii="Arial" w:hAnsi="Arial" w:cs="Arial"/>
        <w:i/>
        <w:iCs/>
        <w:sz w:val="22"/>
        <w:szCs w:val="18"/>
        <w:u w:val="single"/>
      </w:rPr>
    </w:pPr>
    <w:r w:rsidRPr="00F90AE5">
      <w:rPr>
        <w:rFonts w:ascii="Arial" w:hAnsi="Arial" w:cs="Arial"/>
        <w:i/>
        <w:iCs/>
        <w:sz w:val="22"/>
        <w:szCs w:val="18"/>
        <w:u w:val="single"/>
      </w:rPr>
      <w:t>Rick Griffith, PhD</w:t>
    </w:r>
    <w:r w:rsidRPr="00F90AE5">
      <w:rPr>
        <w:rFonts w:ascii="Arial" w:hAnsi="Arial" w:cs="Arial"/>
        <w:i/>
        <w:iCs/>
        <w:sz w:val="22"/>
        <w:szCs w:val="18"/>
        <w:u w:val="single"/>
      </w:rPr>
      <w:tab/>
      <w:t>New Testament Survey: James</w:t>
    </w:r>
    <w:r w:rsidRPr="00F90AE5">
      <w:rPr>
        <w:rFonts w:ascii="Arial" w:hAnsi="Arial" w:cs="Arial"/>
        <w:i/>
        <w:iCs/>
        <w:sz w:val="22"/>
        <w:szCs w:val="18"/>
        <w:u w:val="single"/>
      </w:rPr>
      <w:tab/>
      <w:t>274</w:t>
    </w:r>
    <w:r w:rsidRPr="00F90AE5">
      <w:rPr>
        <w:rStyle w:val="PageNumber"/>
        <w:rFonts w:ascii="Arial" w:hAnsi="Arial" w:cs="Arial"/>
        <w:i/>
        <w:iCs/>
        <w:sz w:val="22"/>
        <w:szCs w:val="18"/>
        <w:u w:val="single"/>
      </w:rPr>
      <w:fldChar w:fldCharType="begin"/>
    </w:r>
    <w:r w:rsidRPr="00F90AE5">
      <w:rPr>
        <w:rStyle w:val="PageNumber"/>
        <w:rFonts w:ascii="Arial" w:hAnsi="Arial" w:cs="Arial"/>
        <w:i/>
        <w:iCs/>
        <w:sz w:val="22"/>
        <w:szCs w:val="18"/>
        <w:u w:val="single"/>
      </w:rPr>
      <w:instrText xml:space="preserve"> PAGE </w:instrText>
    </w:r>
    <w:r w:rsidRPr="00F90AE5">
      <w:rPr>
        <w:rStyle w:val="PageNumber"/>
        <w:rFonts w:ascii="Arial" w:hAnsi="Arial" w:cs="Arial"/>
        <w:i/>
        <w:iCs/>
        <w:sz w:val="22"/>
        <w:szCs w:val="18"/>
        <w:u w:val="single"/>
      </w:rPr>
      <w:fldChar w:fldCharType="separate"/>
    </w:r>
    <w:r w:rsidRPr="00F90AE5">
      <w:rPr>
        <w:rStyle w:val="PageNumber"/>
        <w:rFonts w:ascii="Arial" w:hAnsi="Arial" w:cs="Arial"/>
        <w:i/>
        <w:iCs/>
        <w:noProof/>
        <w:sz w:val="22"/>
        <w:szCs w:val="18"/>
        <w:u w:val="single"/>
      </w:rPr>
      <w:t>e</w:t>
    </w:r>
    <w:r w:rsidRPr="00F90AE5">
      <w:rPr>
        <w:rStyle w:val="PageNumber"/>
        <w:rFonts w:ascii="Arial" w:hAnsi="Arial" w:cs="Arial"/>
        <w:i/>
        <w:iCs/>
        <w:sz w:val="22"/>
        <w:szCs w:val="18"/>
        <w:u w:val="single"/>
      </w:rPr>
      <w:fldChar w:fldCharType="end"/>
    </w:r>
  </w:p>
  <w:p w14:paraId="12769EC1" w14:textId="77777777" w:rsidR="00F1499B" w:rsidRPr="00F90AE5" w:rsidRDefault="00F1499B" w:rsidP="00F1499B">
    <w:pPr>
      <w:pStyle w:val="Header"/>
      <w:rPr>
        <w:rFonts w:ascii="Arial" w:hAnsi="Arial" w:cs="Arial"/>
        <w:i/>
        <w:iCs/>
        <w:sz w:val="22"/>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2008" w14:textId="77777777" w:rsidR="00F1499B" w:rsidRPr="003972C1" w:rsidRDefault="00F1499B">
    <w:pPr>
      <w:pStyle w:val="Header"/>
      <w:tabs>
        <w:tab w:val="clear" w:pos="4320"/>
        <w:tab w:val="clear" w:pos="8640"/>
        <w:tab w:val="center" w:pos="4770"/>
        <w:tab w:val="right" w:pos="9630"/>
      </w:tabs>
      <w:rPr>
        <w:rFonts w:ascii="Arial" w:hAnsi="Arial" w:cs="Arial"/>
        <w:i/>
        <w:iCs/>
        <w:sz w:val="20"/>
        <w:u w:val="single"/>
      </w:rPr>
    </w:pPr>
    <w:r w:rsidRPr="003972C1">
      <w:rPr>
        <w:rFonts w:ascii="Arial" w:hAnsi="Arial" w:cs="Arial"/>
        <w:i/>
        <w:iCs/>
        <w:sz w:val="20"/>
        <w:u w:val="single"/>
      </w:rPr>
      <w:t>Rick Griffith, PhD</w:t>
    </w:r>
    <w:r w:rsidRPr="003972C1">
      <w:rPr>
        <w:rFonts w:ascii="Arial" w:hAnsi="Arial" w:cs="Arial"/>
        <w:i/>
        <w:iCs/>
        <w:sz w:val="20"/>
        <w:u w:val="single"/>
      </w:rPr>
      <w:tab/>
      <w:t>New Testament Survey: James</w:t>
    </w:r>
    <w:r w:rsidRPr="003972C1">
      <w:rPr>
        <w:rFonts w:ascii="Arial" w:hAnsi="Arial" w:cs="Arial"/>
        <w:i/>
        <w:iCs/>
        <w:sz w:val="20"/>
        <w:u w:val="single"/>
      </w:rPr>
      <w:tab/>
      <w:t>274</w:t>
    </w:r>
    <w:r w:rsidRPr="003972C1">
      <w:rPr>
        <w:rStyle w:val="PageNumber"/>
        <w:rFonts w:ascii="Arial" w:hAnsi="Arial" w:cs="Arial"/>
        <w:i/>
        <w:iCs/>
        <w:sz w:val="20"/>
        <w:u w:val="single"/>
      </w:rPr>
      <w:fldChar w:fldCharType="begin"/>
    </w:r>
    <w:r w:rsidRPr="003972C1">
      <w:rPr>
        <w:rStyle w:val="PageNumber"/>
        <w:rFonts w:ascii="Arial" w:hAnsi="Arial" w:cs="Arial"/>
        <w:i/>
        <w:iCs/>
        <w:sz w:val="20"/>
        <w:u w:val="single"/>
      </w:rPr>
      <w:instrText xml:space="preserve"> PAGE </w:instrText>
    </w:r>
    <w:r w:rsidRPr="003972C1">
      <w:rPr>
        <w:rStyle w:val="PageNumber"/>
        <w:rFonts w:ascii="Arial" w:hAnsi="Arial" w:cs="Arial"/>
        <w:i/>
        <w:iCs/>
        <w:sz w:val="20"/>
        <w:u w:val="single"/>
      </w:rPr>
      <w:fldChar w:fldCharType="separate"/>
    </w:r>
    <w:r w:rsidRPr="003972C1">
      <w:rPr>
        <w:rStyle w:val="PageNumber"/>
        <w:rFonts w:ascii="Arial" w:hAnsi="Arial" w:cs="Arial"/>
        <w:i/>
        <w:iCs/>
        <w:noProof/>
        <w:sz w:val="20"/>
        <w:u w:val="single"/>
      </w:rPr>
      <w:t>b</w:t>
    </w:r>
    <w:r w:rsidRPr="003972C1">
      <w:rPr>
        <w:rStyle w:val="PageNumber"/>
        <w:rFonts w:ascii="Arial" w:hAnsi="Arial" w:cs="Arial"/>
        <w:i/>
        <w:iCs/>
        <w:sz w:val="20"/>
        <w:u w:val="single"/>
      </w:rPr>
      <w:fldChar w:fldCharType="end"/>
    </w:r>
  </w:p>
  <w:p w14:paraId="0CE68FFA" w14:textId="77777777" w:rsidR="00F1499B" w:rsidRPr="003972C1" w:rsidRDefault="00F1499B">
    <w:pPr>
      <w:pStyle w:val="Header"/>
      <w:tabs>
        <w:tab w:val="clear" w:pos="4320"/>
        <w:tab w:val="clear" w:pos="8640"/>
        <w:tab w:val="center" w:pos="4770"/>
        <w:tab w:val="right" w:pos="9630"/>
      </w:tabs>
      <w:rPr>
        <w:rFonts w:ascii="Arial" w:hAnsi="Arial" w:cs="Arial"/>
        <w:i/>
        <w:i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24CAA"/>
    <w:multiLevelType w:val="hybridMultilevel"/>
    <w:tmpl w:val="03203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E0AA4"/>
    <w:multiLevelType w:val="hybridMultilevel"/>
    <w:tmpl w:val="B12EC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4523232">
    <w:abstractNumId w:val="0"/>
  </w:num>
  <w:num w:numId="2" w16cid:durableId="293753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16"/>
    <w:rsid w:val="003972C1"/>
    <w:rsid w:val="00C41CAC"/>
    <w:rsid w:val="00F1499B"/>
    <w:rsid w:val="00F90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27331"/>
  <w15:chartTrackingRefBased/>
  <w15:docId w15:val="{9FEFF3F0-D432-E642-923A-3D0F1729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jc w:val="both"/>
    </w:pPr>
    <w:rPr>
      <w:rFonts w:eastAsia="Times New Roman"/>
    </w:rPr>
  </w:style>
  <w:style w:type="paragraph" w:styleId="Footer">
    <w:name w:val="footer"/>
    <w:basedOn w:val="Normal"/>
    <w:pPr>
      <w:tabs>
        <w:tab w:val="center" w:pos="4320"/>
        <w:tab w:val="right" w:pos="8640"/>
      </w:tabs>
    </w:pPr>
  </w:style>
  <w:style w:type="paragraph" w:styleId="FootnoteText">
    <w:name w:val="footnote text"/>
    <w:basedOn w:val="Normal"/>
    <w:semiHidden/>
    <w:rsid w:val="00DE07D7"/>
    <w:rPr>
      <w:sz w:val="20"/>
    </w:rPr>
  </w:style>
  <w:style w:type="character" w:styleId="FootnoteReference">
    <w:name w:val="footnote reference"/>
    <w:semiHidden/>
    <w:rsid w:val="00DE07D7"/>
    <w:rPr>
      <w:vertAlign w:val="superscript"/>
    </w:rPr>
  </w:style>
  <w:style w:type="paragraph" w:styleId="DocumentMap">
    <w:name w:val="Document Map"/>
    <w:basedOn w:val="Normal"/>
    <w:semiHidden/>
    <w:rsid w:val="00690CAB"/>
    <w:pPr>
      <w:shd w:val="clear" w:color="auto" w:fill="000080"/>
    </w:pPr>
    <w:rPr>
      <w:rFonts w:ascii="Tahoma" w:hAnsi="Tahoma" w:cs="Tahoma"/>
    </w:rPr>
  </w:style>
  <w:style w:type="paragraph" w:styleId="EndnoteText">
    <w:name w:val="endnote text"/>
    <w:basedOn w:val="Normal"/>
    <w:semiHidden/>
    <w:rsid w:val="00B01479"/>
    <w:rPr>
      <w:sz w:val="20"/>
    </w:rPr>
  </w:style>
  <w:style w:type="character" w:styleId="EndnoteReference">
    <w:name w:val="endnote reference"/>
    <w:semiHidden/>
    <w:rsid w:val="00B01479"/>
    <w:rPr>
      <w:vertAlign w:val="superscript"/>
    </w:rPr>
  </w:style>
  <w:style w:type="character" w:styleId="PageNumber">
    <w:name w:val="page number"/>
    <w:basedOn w:val="DefaultParagraphFont"/>
    <w:rsid w:val="000E2585"/>
  </w:style>
  <w:style w:type="table" w:styleId="TableProfessional">
    <w:name w:val="Table Professional"/>
    <w:basedOn w:val="TableNormal"/>
    <w:rsid w:val="007A4E2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55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ard%20Disk:Applications:Microsoft%20Office%2098:Templates: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Hard Disk:Applications:Microsoft Office 98:Templates:Chart</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cp:lastModifiedBy>Rick Griffith</cp:lastModifiedBy>
  <cp:revision>2</cp:revision>
  <cp:lastPrinted>2002-06-29T18:12:00Z</cp:lastPrinted>
  <dcterms:created xsi:type="dcterms:W3CDTF">2025-03-27T17:54:00Z</dcterms:created>
  <dcterms:modified xsi:type="dcterms:W3CDTF">2025-03-27T17:54:00Z</dcterms:modified>
</cp:coreProperties>
</file>