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7F13" w14:textId="33006A8B" w:rsidR="00000000" w:rsidRDefault="00000000">
      <w:pPr>
        <w:pStyle w:val="Header"/>
        <w:tabs>
          <w:tab w:val="clear" w:pos="4800"/>
          <w:tab w:val="center" w:pos="4950"/>
        </w:tabs>
        <w:ind w:right="-10"/>
        <w:rPr>
          <w:b/>
          <w:sz w:val="36"/>
        </w:rPr>
      </w:pPr>
      <w:r>
        <w:rPr>
          <w:b/>
          <w:sz w:val="36"/>
        </w:rPr>
        <w:t>The Date of Christ’s Death</w:t>
      </w:r>
    </w:p>
    <w:p w14:paraId="750BA602" w14:textId="77777777" w:rsidR="00000000" w:rsidRDefault="00000000" w:rsidP="00641390"/>
    <w:p w14:paraId="5AEC9E13" w14:textId="77777777" w:rsidR="00641390" w:rsidRDefault="00641390" w:rsidP="00641390">
      <w:r>
        <w:t>Even though Pilate ruled Judea from AD 26-36, scholars have proposed dates for the death of Christ ranging from AD 21 to AD 36.</w:t>
      </w:r>
      <w:r>
        <w:rPr>
          <w:rStyle w:val="FootnoteReference"/>
        </w:rPr>
        <w:footnoteReference w:id="1"/>
      </w:r>
      <w:r>
        <w:t xml:space="preserve">  Since this is the most significant death in history, it is worthy of our time to discern when the crucifixion of Christ took place. This study compares the two dates evangelicals hold most (AD 30 &amp; AD 33) by summarizing the two books below.</w:t>
      </w:r>
    </w:p>
    <w:p w14:paraId="427928C7" w14:textId="77777777" w:rsidR="00641390" w:rsidRDefault="00641390">
      <w:pPr>
        <w:pStyle w:val="Heading1"/>
        <w:ind w:right="-10"/>
      </w:pPr>
      <w:r>
        <w:t>Contrasts Between the Main Dates Proposed</w:t>
      </w:r>
    </w:p>
    <w:p w14:paraId="3D1E2705" w14:textId="77777777" w:rsidR="00641390" w:rsidRDefault="00641390"/>
    <w:tbl>
      <w:tblPr>
        <w:tblW w:w="99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F" w:firstRow="1" w:lastRow="0" w:firstColumn="1" w:lastColumn="0" w:noHBand="0" w:noVBand="0"/>
      </w:tblPr>
      <w:tblGrid>
        <w:gridCol w:w="1908"/>
        <w:gridCol w:w="3420"/>
        <w:gridCol w:w="4590"/>
      </w:tblGrid>
      <w:tr w:rsidR="00641390" w14:paraId="6A4352E1" w14:textId="77777777">
        <w:tblPrEx>
          <w:tblCellMar>
            <w:top w:w="0" w:type="dxa"/>
            <w:bottom w:w="0" w:type="dxa"/>
          </w:tblCellMar>
        </w:tblPrEx>
        <w:tc>
          <w:tcPr>
            <w:tcW w:w="1908" w:type="dxa"/>
            <w:shd w:val="solid" w:color="000000" w:fill="FFFFFF"/>
          </w:tcPr>
          <w:p w14:paraId="48CBC4A8" w14:textId="77777777" w:rsidR="00641390" w:rsidRDefault="00641390" w:rsidP="00641390">
            <w:pPr>
              <w:jc w:val="center"/>
              <w:rPr>
                <w:b/>
                <w:i/>
                <w:sz w:val="32"/>
              </w:rPr>
            </w:pPr>
            <w:r>
              <w:rPr>
                <w:b/>
                <w:i/>
                <w:sz w:val="32"/>
              </w:rPr>
              <w:t>Issues</w:t>
            </w:r>
          </w:p>
        </w:tc>
        <w:tc>
          <w:tcPr>
            <w:tcW w:w="3420" w:type="dxa"/>
            <w:shd w:val="solid" w:color="000000" w:fill="FFFFFF"/>
          </w:tcPr>
          <w:p w14:paraId="4C4432B4" w14:textId="77777777" w:rsidR="00641390" w:rsidRDefault="00641390" w:rsidP="00641390">
            <w:pPr>
              <w:jc w:val="center"/>
              <w:rPr>
                <w:b/>
                <w:i/>
                <w:sz w:val="32"/>
              </w:rPr>
            </w:pPr>
            <w:r>
              <w:rPr>
                <w:b/>
                <w:i/>
                <w:sz w:val="32"/>
              </w:rPr>
              <w:t>AD 30</w:t>
            </w:r>
          </w:p>
        </w:tc>
        <w:tc>
          <w:tcPr>
            <w:tcW w:w="4590" w:type="dxa"/>
            <w:shd w:val="solid" w:color="000000" w:fill="FFFFFF"/>
          </w:tcPr>
          <w:p w14:paraId="6F59FCC7" w14:textId="77777777" w:rsidR="00641390" w:rsidRDefault="00641390" w:rsidP="00641390">
            <w:pPr>
              <w:jc w:val="center"/>
              <w:rPr>
                <w:b/>
                <w:i/>
                <w:sz w:val="32"/>
              </w:rPr>
            </w:pPr>
            <w:r>
              <w:rPr>
                <w:b/>
                <w:i/>
                <w:sz w:val="32"/>
              </w:rPr>
              <w:t>AD 33</w:t>
            </w:r>
          </w:p>
        </w:tc>
      </w:tr>
      <w:tr w:rsidR="00641390" w14:paraId="5A873214" w14:textId="77777777">
        <w:tblPrEx>
          <w:tblCellMar>
            <w:top w:w="0" w:type="dxa"/>
            <w:bottom w:w="0" w:type="dxa"/>
          </w:tblCellMar>
        </w:tblPrEx>
        <w:tc>
          <w:tcPr>
            <w:tcW w:w="1908" w:type="dxa"/>
          </w:tcPr>
          <w:p w14:paraId="33CF73DB" w14:textId="77777777" w:rsidR="00641390" w:rsidRDefault="00641390" w:rsidP="00641390">
            <w:pPr>
              <w:rPr>
                <w:i/>
              </w:rPr>
            </w:pPr>
            <w:r>
              <w:rPr>
                <w:i/>
              </w:rPr>
              <w:t xml:space="preserve">Beginning of John’s Ministry in </w:t>
            </w:r>
            <w:r w:rsidRPr="00387AD1">
              <w:rPr>
                <w:i/>
              </w:rPr>
              <w:t>Tiberius’ 15</w:t>
            </w:r>
            <w:r w:rsidRPr="00387AD1">
              <w:rPr>
                <w:i/>
                <w:vertAlign w:val="superscript"/>
              </w:rPr>
              <w:t>th</w:t>
            </w:r>
            <w:r>
              <w:t xml:space="preserve"> year</w:t>
            </w:r>
            <w:r>
              <w:rPr>
                <w:i/>
              </w:rPr>
              <w:t xml:space="preserve"> (Luke 3:1-2)</w:t>
            </w:r>
          </w:p>
        </w:tc>
        <w:tc>
          <w:tcPr>
            <w:tcW w:w="3420" w:type="dxa"/>
          </w:tcPr>
          <w:p w14:paraId="389C6489" w14:textId="77777777" w:rsidR="00641390" w:rsidRDefault="00641390" w:rsidP="00641390">
            <w:r>
              <w:t>No satisfactory solution yields the required AD 25-26 date for John’s ministry start in order to arrive at an AD 30 crucifixion of Christ.</w:t>
            </w:r>
          </w:p>
        </w:tc>
        <w:tc>
          <w:tcPr>
            <w:tcW w:w="4590" w:type="dxa"/>
          </w:tcPr>
          <w:p w14:paraId="62C9BCA6" w14:textId="77777777" w:rsidR="00641390" w:rsidRDefault="00641390">
            <w:r>
              <w:t>Adding 15 years to Tiberius’ coronation in AD 14 yields AD 28/29 for the start of John’s ministry, so Christ’s 3.5-year ministry that started later gives AD 33 as the date of Christ’s death (Hoehner, 100).</w:t>
            </w:r>
          </w:p>
          <w:p w14:paraId="7057272F" w14:textId="77777777" w:rsidR="00641390" w:rsidRDefault="00641390"/>
        </w:tc>
      </w:tr>
      <w:tr w:rsidR="00641390" w14:paraId="13EC6D38" w14:textId="77777777">
        <w:tblPrEx>
          <w:tblCellMar>
            <w:top w:w="0" w:type="dxa"/>
            <w:bottom w:w="0" w:type="dxa"/>
          </w:tblCellMar>
        </w:tblPrEx>
        <w:tc>
          <w:tcPr>
            <w:tcW w:w="1908" w:type="dxa"/>
          </w:tcPr>
          <w:p w14:paraId="0F991AC9" w14:textId="77777777" w:rsidR="00641390" w:rsidRDefault="00641390" w:rsidP="00641390">
            <w:pPr>
              <w:rPr>
                <w:i/>
              </w:rPr>
            </w:pPr>
            <w:r>
              <w:rPr>
                <w:i/>
              </w:rPr>
              <w:t>Passover (Nisan 14) on a Friday (John 19:28)</w:t>
            </w:r>
          </w:p>
        </w:tc>
        <w:tc>
          <w:tcPr>
            <w:tcW w:w="3420" w:type="dxa"/>
          </w:tcPr>
          <w:p w14:paraId="7FA54B9C" w14:textId="77777777" w:rsidR="00641390" w:rsidRDefault="00641390" w:rsidP="00641390">
            <w:r>
              <w:t>Nisan 14 fell on a Friday in AD 30, which satisfies John’s account (Synoptics followed a different calendar).</w:t>
            </w:r>
          </w:p>
          <w:p w14:paraId="0352A187" w14:textId="77777777" w:rsidR="00641390" w:rsidRDefault="00641390" w:rsidP="00641390"/>
        </w:tc>
        <w:tc>
          <w:tcPr>
            <w:tcW w:w="4590" w:type="dxa"/>
          </w:tcPr>
          <w:p w14:paraId="140B6348" w14:textId="77777777" w:rsidR="00641390" w:rsidRDefault="00641390">
            <w:r>
              <w:t>Astronomy shows that Nisan 14 fell on a Friday in AD 27, 30, 33 and 36.</w:t>
            </w:r>
            <w:r>
              <w:rPr>
                <w:rStyle w:val="FootnoteReference"/>
              </w:rPr>
              <w:footnoteReference w:id="2"/>
            </w:r>
          </w:p>
        </w:tc>
      </w:tr>
      <w:tr w:rsidR="00641390" w14:paraId="3EA3B76B" w14:textId="77777777">
        <w:tblPrEx>
          <w:tblCellMar>
            <w:top w:w="0" w:type="dxa"/>
            <w:bottom w:w="0" w:type="dxa"/>
          </w:tblCellMar>
        </w:tblPrEx>
        <w:tc>
          <w:tcPr>
            <w:tcW w:w="1908" w:type="dxa"/>
          </w:tcPr>
          <w:p w14:paraId="7026C054" w14:textId="77777777" w:rsidR="00641390" w:rsidRDefault="00641390" w:rsidP="00641390">
            <w:pPr>
              <w:rPr>
                <w:i/>
              </w:rPr>
            </w:pPr>
            <w:r>
              <w:rPr>
                <w:i/>
              </w:rPr>
              <w:t>46-year temple construction (John 2:20)</w:t>
            </w:r>
          </w:p>
        </w:tc>
        <w:tc>
          <w:tcPr>
            <w:tcW w:w="3420" w:type="dxa"/>
          </w:tcPr>
          <w:p w14:paraId="19AD3F31" w14:textId="77777777" w:rsidR="00641390" w:rsidRDefault="00641390" w:rsidP="00641390">
            <w:r>
              <w:t>The “temple” began to be constructed by Herod in 19 BC and continued to AD 27.</w:t>
            </w:r>
          </w:p>
        </w:tc>
        <w:tc>
          <w:tcPr>
            <w:tcW w:w="4590" w:type="dxa"/>
          </w:tcPr>
          <w:p w14:paraId="265E0B33" w14:textId="77777777" w:rsidR="00641390" w:rsidRDefault="00641390" w:rsidP="00641390">
            <w:r>
              <w:t>Jews referred to the sacred building (</w:t>
            </w:r>
            <w:proofErr w:type="spellStart"/>
            <w:r>
              <w:rPr>
                <w:rFonts w:ascii="Bwgrkl" w:hAnsi="Bwgrkl"/>
              </w:rPr>
              <w:t>nao,j</w:t>
            </w:r>
            <w:proofErr w:type="spellEnd"/>
            <w:r>
              <w:rPr>
                <w:rFonts w:ascii="Bwgrkl" w:hAnsi="Bwgrkl"/>
              </w:rPr>
              <w:t xml:space="preserve"> </w:t>
            </w:r>
            <w:r>
              <w:t>John 2:20)—not the whole temple area with their courts (</w:t>
            </w:r>
            <w:r>
              <w:rPr>
                <w:rFonts w:ascii="Bwgrkl" w:hAnsi="Bwgrkl"/>
              </w:rPr>
              <w:t xml:space="preserve">i`ero,n </w:t>
            </w:r>
            <w:r>
              <w:t>John 5:14; 7:14, etc.).  The building took 1.5 years to build, being completed in 18/17 BC.</w:t>
            </w:r>
            <w:r>
              <w:rPr>
                <w:rStyle w:val="FootnoteReference"/>
              </w:rPr>
              <w:footnoteReference w:id="3"/>
            </w:r>
            <w:r>
              <w:t xml:space="preserve">  Thus the building </w:t>
            </w:r>
            <w:r>
              <w:rPr>
                <w:i/>
              </w:rPr>
              <w:t>had stood</w:t>
            </w:r>
            <w:r>
              <w:t xml:space="preserve"> for 46 years by AD 29/30.  “Therefore, the Jews were asking Jesus how He would be able to raise in three days the temple edifice which had stood for forty-six years” (Hoehner, 42).</w:t>
            </w:r>
          </w:p>
          <w:p w14:paraId="00E0798D" w14:textId="77777777" w:rsidR="00641390" w:rsidRPr="003F0A49" w:rsidRDefault="00641390" w:rsidP="00641390"/>
        </w:tc>
      </w:tr>
      <w:tr w:rsidR="00641390" w14:paraId="18DB0213" w14:textId="77777777">
        <w:tblPrEx>
          <w:tblCellMar>
            <w:top w:w="0" w:type="dxa"/>
            <w:bottom w:w="0" w:type="dxa"/>
          </w:tblCellMar>
        </w:tblPrEx>
        <w:tc>
          <w:tcPr>
            <w:tcW w:w="1908" w:type="dxa"/>
          </w:tcPr>
          <w:p w14:paraId="29C04942" w14:textId="77777777" w:rsidR="00641390" w:rsidRDefault="00641390">
            <w:pPr>
              <w:rPr>
                <w:i/>
              </w:rPr>
            </w:pPr>
            <w:r>
              <w:rPr>
                <w:i/>
              </w:rPr>
              <w:t>About 30-years old at start of His ministry (Luke 3:21-23)</w:t>
            </w:r>
          </w:p>
        </w:tc>
        <w:tc>
          <w:tcPr>
            <w:tcW w:w="3420" w:type="dxa"/>
          </w:tcPr>
          <w:p w14:paraId="50C72F8F" w14:textId="77777777" w:rsidR="00641390" w:rsidRDefault="00641390">
            <w:r>
              <w:t>A ministry start in AD 26 brings Christ’s birth back to 4 BC at latest—probably 6 BC for Christ to be 32 years old.</w:t>
            </w:r>
          </w:p>
        </w:tc>
        <w:tc>
          <w:tcPr>
            <w:tcW w:w="4590" w:type="dxa"/>
          </w:tcPr>
          <w:p w14:paraId="04785ED7" w14:textId="77777777" w:rsidR="00641390" w:rsidRDefault="00641390" w:rsidP="00641390">
            <w:r>
              <w:t>A ministry start in AD 29 brings Christ’s birth back to 4 BC exactly, so that Jesus was 32-33 years old when he began his ministry.</w:t>
            </w:r>
          </w:p>
        </w:tc>
      </w:tr>
      <w:tr w:rsidR="00641390" w14:paraId="28527709" w14:textId="77777777">
        <w:tblPrEx>
          <w:tblCellMar>
            <w:top w:w="0" w:type="dxa"/>
            <w:bottom w:w="0" w:type="dxa"/>
          </w:tblCellMar>
        </w:tblPrEx>
        <w:tc>
          <w:tcPr>
            <w:tcW w:w="1908" w:type="dxa"/>
          </w:tcPr>
          <w:p w14:paraId="24EB4D93" w14:textId="77777777" w:rsidR="00641390" w:rsidRDefault="00641390">
            <w:pPr>
              <w:rPr>
                <w:i/>
              </w:rPr>
            </w:pPr>
          </w:p>
        </w:tc>
        <w:tc>
          <w:tcPr>
            <w:tcW w:w="3420" w:type="dxa"/>
          </w:tcPr>
          <w:p w14:paraId="720BBC7E" w14:textId="77777777" w:rsidR="00641390" w:rsidRDefault="00641390"/>
        </w:tc>
        <w:tc>
          <w:tcPr>
            <w:tcW w:w="4590" w:type="dxa"/>
          </w:tcPr>
          <w:p w14:paraId="474B218A" w14:textId="77777777" w:rsidR="00641390" w:rsidRDefault="00641390"/>
        </w:tc>
      </w:tr>
      <w:tr w:rsidR="00641390" w14:paraId="61F97238" w14:textId="77777777">
        <w:tblPrEx>
          <w:tblCellMar>
            <w:top w:w="0" w:type="dxa"/>
            <w:bottom w:w="0" w:type="dxa"/>
          </w:tblCellMar>
        </w:tblPrEx>
        <w:tc>
          <w:tcPr>
            <w:tcW w:w="1908" w:type="dxa"/>
          </w:tcPr>
          <w:p w14:paraId="7EAD6E2E" w14:textId="77777777" w:rsidR="00641390" w:rsidRDefault="00641390">
            <w:pPr>
              <w:rPr>
                <w:i/>
              </w:rPr>
            </w:pPr>
            <w:r>
              <w:rPr>
                <w:i/>
              </w:rPr>
              <w:t>Proponents</w:t>
            </w:r>
          </w:p>
        </w:tc>
        <w:tc>
          <w:tcPr>
            <w:tcW w:w="3420" w:type="dxa"/>
          </w:tcPr>
          <w:p w14:paraId="5E68D9B6" w14:textId="77777777" w:rsidR="00641390" w:rsidRPr="00B35A19" w:rsidRDefault="00641390" w:rsidP="00641390">
            <w:r>
              <w:t>Elwell &amp; Yarbrough</w:t>
            </w:r>
            <w:r>
              <w:rPr>
                <w:rStyle w:val="FootnoteReference"/>
              </w:rPr>
              <w:footnoteReference w:id="4"/>
            </w:r>
          </w:p>
        </w:tc>
        <w:tc>
          <w:tcPr>
            <w:tcW w:w="4590" w:type="dxa"/>
          </w:tcPr>
          <w:p w14:paraId="777516D2" w14:textId="77777777" w:rsidR="00641390" w:rsidRPr="0099414E" w:rsidRDefault="00641390" w:rsidP="00641390">
            <w:pPr>
              <w:rPr>
                <w:i/>
              </w:rPr>
            </w:pPr>
            <w:r>
              <w:t>Hoehner</w:t>
            </w:r>
            <w:r>
              <w:rPr>
                <w:rStyle w:val="FootnoteReference"/>
              </w:rPr>
              <w:footnoteReference w:id="5"/>
            </w:r>
          </w:p>
        </w:tc>
      </w:tr>
    </w:tbl>
    <w:p w14:paraId="399FB8D1" w14:textId="77777777" w:rsidR="00641390" w:rsidRDefault="00641390">
      <w:pPr>
        <w:pStyle w:val="Heading1"/>
        <w:ind w:right="-10"/>
      </w:pPr>
      <w:r>
        <w:t>Conclusion</w:t>
      </w:r>
    </w:p>
    <w:p w14:paraId="3F820809" w14:textId="77777777" w:rsidR="00641390" w:rsidRDefault="00641390">
      <w:pPr>
        <w:ind w:right="-10"/>
      </w:pPr>
    </w:p>
    <w:p w14:paraId="7A7B2080" w14:textId="0E2A4578" w:rsidR="00641390" w:rsidRDefault="00641390">
      <w:pPr>
        <w:ind w:left="450" w:right="-10"/>
      </w:pPr>
      <w:r>
        <w:t xml:space="preserve">Issues 2, 3, &amp; 4 above seem inconclusive for both the AD 30 and the AD 33 views.  However, </w:t>
      </w:r>
      <w:r w:rsidR="00CE5F82">
        <w:t>give</w:t>
      </w:r>
      <w:r>
        <w:t>n the clear reference to the 15</w:t>
      </w:r>
      <w:r w:rsidRPr="00387AD1">
        <w:rPr>
          <w:vertAlign w:val="superscript"/>
        </w:rPr>
        <w:t>th</w:t>
      </w:r>
      <w:r>
        <w:t xml:space="preserve"> year of Tiberius (issue #1), the AD 33 date </w:t>
      </w:r>
      <w:r w:rsidR="00CE5F82">
        <w:t>appears to have</w:t>
      </w:r>
      <w:r>
        <w:t xml:space="preserve"> the most merit.  This would argue that Jesus was crucified on Friday, 3 April, AD 33.</w:t>
      </w:r>
    </w:p>
    <w:sectPr w:rsidR="00641390" w:rsidSect="00641390">
      <w:headerReference w:type="default" r:id="rId7"/>
      <w:footerReference w:type="default" r:id="rId8"/>
      <w:pgSz w:w="11880" w:h="16820"/>
      <w:pgMar w:top="720" w:right="1022" w:bottom="720" w:left="1238" w:header="720" w:footer="720" w:gutter="0"/>
      <w:pgNumType w:fmt="lowerLetter"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D830" w14:textId="77777777" w:rsidR="00753ECF" w:rsidRDefault="00753ECF">
      <w:r>
        <w:separator/>
      </w:r>
    </w:p>
  </w:endnote>
  <w:endnote w:type="continuationSeparator" w:id="0">
    <w:p w14:paraId="4C4169DD" w14:textId="77777777" w:rsidR="00753ECF" w:rsidRDefault="0075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wgrkl">
    <w:panose1 w:val="020B0604020202020204"/>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D0A" w14:textId="77777777" w:rsidR="00641390" w:rsidRPr="00A8414A" w:rsidRDefault="00641390" w:rsidP="00641390">
    <w:pPr>
      <w:pStyle w:val="Footer"/>
      <w:jc w:val="right"/>
      <w:rPr>
        <w:sz w:val="16"/>
      </w:rPr>
    </w:pPr>
    <w:r w:rsidRPr="00A8414A">
      <w:rPr>
        <w:sz w:val="16"/>
      </w:rPr>
      <w:fldChar w:fldCharType="begin"/>
    </w:r>
    <w:r w:rsidRPr="00A8414A">
      <w:rPr>
        <w:sz w:val="16"/>
      </w:rPr>
      <w:instrText xml:space="preserve"> TIME \@ "d-MMM-yy" </w:instrText>
    </w:r>
    <w:r w:rsidRPr="00A8414A">
      <w:rPr>
        <w:sz w:val="16"/>
      </w:rPr>
      <w:fldChar w:fldCharType="separate"/>
    </w:r>
    <w:r w:rsidR="0097459A">
      <w:rPr>
        <w:noProof/>
        <w:sz w:val="16"/>
      </w:rPr>
      <w:t>17-May-26</w:t>
    </w:r>
    <w:r w:rsidRPr="00A8414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66EE" w14:textId="77777777" w:rsidR="00753ECF" w:rsidRDefault="00753ECF">
      <w:r>
        <w:separator/>
      </w:r>
    </w:p>
  </w:footnote>
  <w:footnote w:type="continuationSeparator" w:id="0">
    <w:p w14:paraId="587F9442" w14:textId="77777777" w:rsidR="00753ECF" w:rsidRDefault="00753ECF">
      <w:r>
        <w:continuationSeparator/>
      </w:r>
    </w:p>
  </w:footnote>
  <w:footnote w:id="1">
    <w:p w14:paraId="0949A79C" w14:textId="77777777" w:rsidR="00641390" w:rsidRPr="001D54AE" w:rsidRDefault="00641390">
      <w:pPr>
        <w:pStyle w:val="FootnoteText"/>
      </w:pPr>
      <w:r>
        <w:rPr>
          <w:rStyle w:val="FootnoteReference"/>
        </w:rPr>
        <w:footnoteRef/>
      </w:r>
      <w:r>
        <w:t xml:space="preserve"> Harold W. Hoehner, </w:t>
      </w:r>
      <w:r>
        <w:rPr>
          <w:i/>
        </w:rPr>
        <w:t>Chronological Aspects of the Life of Christ</w:t>
      </w:r>
      <w:r>
        <w:t xml:space="preserve"> (Grand Rapids: Zondervan, 1977), 95.</w:t>
      </w:r>
    </w:p>
  </w:footnote>
  <w:footnote w:id="2">
    <w:p w14:paraId="69AFC271" w14:textId="77777777" w:rsidR="00641390" w:rsidRDefault="00641390">
      <w:pPr>
        <w:pStyle w:val="FootnoteText"/>
      </w:pPr>
      <w:r>
        <w:rPr>
          <w:rStyle w:val="FootnoteReference"/>
        </w:rPr>
        <w:footnoteRef/>
      </w:r>
      <w:r>
        <w:t xml:space="preserve"> See several sources cited by Hoehner, 100, n. 34.</w:t>
      </w:r>
    </w:p>
  </w:footnote>
  <w:footnote w:id="3">
    <w:p w14:paraId="16C360CA" w14:textId="77777777" w:rsidR="00641390" w:rsidRPr="003F0A49" w:rsidRDefault="00641390">
      <w:pPr>
        <w:pStyle w:val="FootnoteText"/>
      </w:pPr>
      <w:r>
        <w:rPr>
          <w:rStyle w:val="FootnoteReference"/>
        </w:rPr>
        <w:footnoteRef/>
      </w:r>
      <w:r>
        <w:t xml:space="preserve"> Josephus </w:t>
      </w:r>
      <w:r>
        <w:rPr>
          <w:i/>
        </w:rPr>
        <w:t>Ant.</w:t>
      </w:r>
      <w:r>
        <w:t xml:space="preserve"> 15.11.5</w:t>
      </w:r>
    </w:p>
  </w:footnote>
  <w:footnote w:id="4">
    <w:p w14:paraId="6064E2E6" w14:textId="77777777" w:rsidR="00641390" w:rsidRDefault="00641390">
      <w:pPr>
        <w:pStyle w:val="FootnoteText"/>
      </w:pPr>
      <w:r>
        <w:rPr>
          <w:rStyle w:val="FootnoteReference"/>
        </w:rPr>
        <w:footnoteRef/>
      </w:r>
      <w:r>
        <w:t xml:space="preserve"> Walter A. Elwell and Robert W. Yarbrough, </w:t>
      </w:r>
      <w:r>
        <w:rPr>
          <w:i/>
        </w:rPr>
        <w:t>Encountering the NT</w:t>
      </w:r>
      <w:r>
        <w:t>, 2d ed. (Grand Rapids: Baker, 2005), 119.</w:t>
      </w:r>
    </w:p>
  </w:footnote>
  <w:footnote w:id="5">
    <w:p w14:paraId="19617044" w14:textId="77777777" w:rsidR="00641390" w:rsidRDefault="00641390">
      <w:pPr>
        <w:pStyle w:val="FootnoteText"/>
      </w:pPr>
      <w:r>
        <w:rPr>
          <w:rStyle w:val="FootnoteReference"/>
        </w:rPr>
        <w:footnoteRef/>
      </w:r>
      <w:r>
        <w:t xml:space="preserve"> See footnote 1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48AC" w14:textId="5D004EE6" w:rsidR="00641390" w:rsidRPr="008A33BA" w:rsidRDefault="00641390">
    <w:pPr>
      <w:pStyle w:val="Header"/>
      <w:tabs>
        <w:tab w:val="clear" w:pos="4800"/>
        <w:tab w:val="clear" w:pos="9660"/>
        <w:tab w:val="center" w:pos="4950"/>
        <w:tab w:val="right" w:pos="9540"/>
      </w:tabs>
      <w:ind w:right="-10"/>
      <w:jc w:val="left"/>
      <w:rPr>
        <w:u w:val="single"/>
      </w:rPr>
    </w:pPr>
    <w:r w:rsidRPr="008A33BA">
      <w:rPr>
        <w:u w:val="single"/>
      </w:rPr>
      <w:t xml:space="preserve">Rick Griffith, </w:t>
    </w:r>
    <w:r w:rsidRPr="008A33BA">
      <w:rPr>
        <w:sz w:val="18"/>
        <w:u w:val="single"/>
      </w:rPr>
      <w:t>PhD</w:t>
    </w:r>
    <w:r w:rsidRPr="008A33BA">
      <w:rPr>
        <w:u w:val="single"/>
      </w:rPr>
      <w:tab/>
      <w:t>New Testament</w:t>
    </w:r>
    <w:r w:rsidR="00CB4A1F">
      <w:rPr>
        <w:u w:val="single"/>
      </w:rPr>
      <w:t xml:space="preserve"> Backgrounds</w:t>
    </w:r>
    <w:r w:rsidRPr="008A33BA">
      <w:rPr>
        <w:u w:val="single"/>
      </w:rPr>
      <w:t>: Chronology</w:t>
    </w:r>
    <w:r w:rsidRPr="008A33BA">
      <w:rPr>
        <w:u w:val="single"/>
      </w:rPr>
      <w:tab/>
    </w:r>
    <w:r w:rsidRPr="008A33BA">
      <w:rPr>
        <w:rStyle w:val="PageNumber"/>
        <w:u w:val="single"/>
      </w:rPr>
      <w:t>43</w:t>
    </w:r>
    <w:r w:rsidRPr="008A33BA">
      <w:rPr>
        <w:rStyle w:val="PageNumber"/>
        <w:u w:val="single"/>
      </w:rPr>
      <w:fldChar w:fldCharType="begin"/>
    </w:r>
    <w:r w:rsidRPr="008A33BA">
      <w:rPr>
        <w:rStyle w:val="PageNumber"/>
        <w:u w:val="single"/>
      </w:rPr>
      <w:instrText xml:space="preserve"> PAGE </w:instrText>
    </w:r>
    <w:r w:rsidRPr="008A33BA">
      <w:rPr>
        <w:rStyle w:val="PageNumber"/>
        <w:u w:val="single"/>
      </w:rPr>
      <w:fldChar w:fldCharType="separate"/>
    </w:r>
    <w:r>
      <w:rPr>
        <w:rStyle w:val="PageNumber"/>
        <w:noProof/>
        <w:u w:val="single"/>
      </w:rPr>
      <w:t>b</w:t>
    </w:r>
    <w:r w:rsidRPr="008A33BA">
      <w:rPr>
        <w:rStyle w:val="PageNumber"/>
        <w:u w:val="single"/>
      </w:rPr>
      <w:fldChar w:fldCharType="end"/>
    </w:r>
  </w:p>
  <w:p w14:paraId="3F74C853" w14:textId="77777777" w:rsidR="00641390" w:rsidRPr="008A33BA" w:rsidRDefault="00641390">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0790319">
    <w:abstractNumId w:val="0"/>
  </w:num>
  <w:num w:numId="2" w16cid:durableId="1519850598">
    <w:abstractNumId w:val="1"/>
  </w:num>
  <w:num w:numId="3" w16cid:durableId="928074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50"/>
    <w:rsid w:val="00563B6A"/>
    <w:rsid w:val="00641390"/>
    <w:rsid w:val="00753ECF"/>
    <w:rsid w:val="0097459A"/>
    <w:rsid w:val="00CB4A1F"/>
    <w:rsid w:val="00CE5F82"/>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A99C2"/>
  <w15:chartTrackingRefBased/>
  <w15:docId w15:val="{3951E045-5103-C546-B169-28625C26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NTB43b Year of Death of Christ_eng_nb_5058_v2.docx</Template>
  <TotalTime>2</TotalTime>
  <Pages>1</Pages>
  <Words>415</Words>
  <Characters>1861</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5</cp:revision>
  <cp:lastPrinted>2010-04-30T13:36:00Z</cp:lastPrinted>
  <dcterms:created xsi:type="dcterms:W3CDTF">2026-05-17T16:36:00Z</dcterms:created>
  <dcterms:modified xsi:type="dcterms:W3CDTF">2026-05-17T16:37:00Z</dcterms:modified>
</cp:coreProperties>
</file>