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CB14D" w14:textId="77777777" w:rsidR="00305278" w:rsidRPr="00305278" w:rsidRDefault="00305278" w:rsidP="00305278">
      <w:pPr>
        <w:spacing w:before="100" w:beforeAutospacing="1" w:after="100" w:afterAutospacing="1" w:line="240" w:lineRule="auto"/>
        <w:outlineLvl w:val="0"/>
        <w:rPr>
          <w:rFonts w:eastAsia="Times New Roman"/>
          <w:b/>
          <w:bCs/>
          <w:color w:val="auto"/>
          <w:kern w:val="36"/>
          <w:lang w:eastAsia="en-CA" w:bidi="he-IL"/>
        </w:rPr>
      </w:pPr>
      <w:r w:rsidRPr="00305278">
        <w:rPr>
          <w:rFonts w:eastAsia="Times New Roman"/>
          <w:b/>
          <w:bCs/>
          <w:color w:val="auto"/>
          <w:kern w:val="36"/>
          <w:lang w:eastAsia="en-CA" w:bidi="he-IL"/>
        </w:rPr>
        <w:t>https://academic.logos.com/the-meaning-of-words-part-1-words-and-concepts/</w:t>
      </w:r>
    </w:p>
    <w:p w14:paraId="04CAA401" w14:textId="77777777" w:rsidR="00305278" w:rsidRPr="00305278" w:rsidRDefault="00305278" w:rsidP="00305278">
      <w:pPr>
        <w:spacing w:before="100" w:beforeAutospacing="1" w:after="100" w:afterAutospacing="1" w:line="240" w:lineRule="auto"/>
        <w:outlineLvl w:val="0"/>
        <w:rPr>
          <w:rFonts w:eastAsia="Times New Roman"/>
          <w:b/>
          <w:bCs/>
          <w:color w:val="auto"/>
          <w:kern w:val="36"/>
          <w:sz w:val="48"/>
          <w:szCs w:val="48"/>
          <w:lang w:eastAsia="en-CA" w:bidi="he-IL"/>
        </w:rPr>
      </w:pPr>
      <w:r w:rsidRPr="00305278">
        <w:rPr>
          <w:rFonts w:eastAsia="Times New Roman"/>
          <w:b/>
          <w:bCs/>
          <w:color w:val="auto"/>
          <w:kern w:val="36"/>
          <w:sz w:val="48"/>
          <w:szCs w:val="48"/>
          <w:lang w:eastAsia="en-CA" w:bidi="he-IL"/>
        </w:rPr>
        <w:t>The meaning of words (Part 1): words and concepts</w:t>
      </w:r>
    </w:p>
    <w:p w14:paraId="6D026359"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March 10, 2017 by </w:t>
      </w:r>
      <w:hyperlink r:id="rId8" w:history="1">
        <w:proofErr w:type="spellStart"/>
        <w:r w:rsidRPr="00305278">
          <w:rPr>
            <w:rFonts w:eastAsia="Times New Roman"/>
            <w:color w:val="0000FF"/>
            <w:u w:val="single"/>
            <w:lang w:eastAsia="en-CA" w:bidi="he-IL"/>
          </w:rPr>
          <w:t>paulhimes</w:t>
        </w:r>
        <w:proofErr w:type="spellEnd"/>
      </w:hyperlink>
      <w:r w:rsidRPr="00305278">
        <w:rPr>
          <w:rFonts w:eastAsia="Times New Roman"/>
          <w:color w:val="auto"/>
          <w:lang w:eastAsia="en-CA" w:bidi="he-IL"/>
        </w:rPr>
        <w:t xml:space="preserve"> </w:t>
      </w:r>
      <w:hyperlink r:id="rId9" w:anchor="comments" w:history="1">
        <w:r w:rsidRPr="00305278">
          <w:rPr>
            <w:rFonts w:eastAsia="Times New Roman"/>
            <w:color w:val="0000FF"/>
            <w:u w:val="single"/>
            <w:lang w:eastAsia="en-CA" w:bidi="he-IL"/>
          </w:rPr>
          <w:t>13 Comments</w:t>
        </w:r>
      </w:hyperlink>
      <w:r w:rsidRPr="00305278">
        <w:rPr>
          <w:rFonts w:eastAsia="Times New Roman"/>
          <w:color w:val="auto"/>
          <w:lang w:eastAsia="en-CA" w:bidi="he-IL"/>
        </w:rPr>
        <w:t xml:space="preserve"> </w:t>
      </w:r>
    </w:p>
    <w:p w14:paraId="0FAA34E3"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noProof/>
          <w:color w:val="auto"/>
          <w:lang w:eastAsia="en-CA" w:bidi="he-IL"/>
        </w:rPr>
        <w:lastRenderedPageBreak/>
        <w:drawing>
          <wp:inline distT="0" distB="0" distL="0" distR="0" wp14:anchorId="0CBD2D39" wp14:editId="507CA771">
            <wp:extent cx="8058785" cy="5370195"/>
            <wp:effectExtent l="0" t="0" r="0" b="1905"/>
            <wp:docPr id="6" name="Picture 6" descr="dictionary-reference-book-learning-meaning-15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ctionary-reference-book-learning-meaning-1595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58785" cy="5370195"/>
                    </a:xfrm>
                    <a:prstGeom prst="rect">
                      <a:avLst/>
                    </a:prstGeom>
                    <a:noFill/>
                    <a:ln>
                      <a:noFill/>
                    </a:ln>
                  </pic:spPr>
                </pic:pic>
              </a:graphicData>
            </a:graphic>
          </wp:inline>
        </w:drawing>
      </w:r>
    </w:p>
    <w:p w14:paraId="0FBB9CFE" w14:textId="77777777" w:rsidR="00305278" w:rsidRPr="00305278" w:rsidRDefault="00305278" w:rsidP="00305278">
      <w:pPr>
        <w:spacing w:before="100" w:beforeAutospacing="1" w:after="100" w:afterAutospacing="1" w:line="240" w:lineRule="auto"/>
        <w:outlineLvl w:val="1"/>
        <w:rPr>
          <w:rFonts w:eastAsia="Times New Roman"/>
          <w:b/>
          <w:bCs/>
          <w:color w:val="auto"/>
          <w:sz w:val="36"/>
          <w:szCs w:val="36"/>
          <w:lang w:eastAsia="en-CA" w:bidi="he-IL"/>
        </w:rPr>
      </w:pPr>
      <w:r w:rsidRPr="00305278">
        <w:rPr>
          <w:rFonts w:eastAsia="Times New Roman"/>
          <w:b/>
          <w:bCs/>
          <w:color w:val="auto"/>
          <w:sz w:val="36"/>
          <w:szCs w:val="36"/>
          <w:lang w:eastAsia="en-CA" w:bidi="he-IL"/>
        </w:rPr>
        <w:t>Introduction</w:t>
      </w:r>
    </w:p>
    <w:p w14:paraId="2B827C6A" w14:textId="16AB726D"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lastRenderedPageBreak/>
        <w:t>A little knowledge can be a dangerous thing, especially when it comes to biblical words in the original Hebrew and Greek. Quite often</w:t>
      </w:r>
      <w:r w:rsidR="00E00D7A">
        <w:rPr>
          <w:rFonts w:eastAsia="Times New Roman"/>
          <w:color w:val="auto"/>
          <w:lang w:eastAsia="en-CA" w:bidi="he-IL"/>
        </w:rPr>
        <w:t>,</w:t>
      </w:r>
      <w:r w:rsidRPr="00305278">
        <w:rPr>
          <w:rFonts w:eastAsia="Times New Roman"/>
          <w:color w:val="auto"/>
          <w:lang w:eastAsia="en-CA" w:bidi="he-IL"/>
        </w:rPr>
        <w:t xml:space="preserve"> preachers of God’s Word put too heavy a load on biblical words, expecting them to carry a major point of their sermon all on their own.</w:t>
      </w:r>
    </w:p>
    <w:p w14:paraId="47EBB491"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Yet the value of words lies not in their ability to create, in isolation, a new theological understanding, but rather in the fact that they contribute to sentences which then, in turn, alter our theological perception.</w:t>
      </w:r>
    </w:p>
    <w:p w14:paraId="387AF226"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James Barr so painstakingly pointed this out over fifty years ago:</w:t>
      </w:r>
    </w:p>
    <w:p w14:paraId="5FA85C9E"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noProof/>
          <w:color w:val="auto"/>
          <w:lang w:eastAsia="en-CA" w:bidi="he-IL"/>
        </w:rPr>
        <w:drawing>
          <wp:inline distT="0" distB="0" distL="0" distR="0" wp14:anchorId="59307BAE" wp14:editId="3405B60D">
            <wp:extent cx="1781175" cy="2859405"/>
            <wp:effectExtent l="0" t="0" r="9525" b="0"/>
            <wp:docPr id="5" name="Picture 5" descr="jamesba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mesbar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2859405"/>
                    </a:xfrm>
                    <a:prstGeom prst="rect">
                      <a:avLst/>
                    </a:prstGeom>
                    <a:noFill/>
                    <a:ln>
                      <a:noFill/>
                    </a:ln>
                  </pic:spPr>
                </pic:pic>
              </a:graphicData>
            </a:graphic>
          </wp:inline>
        </w:drawing>
      </w:r>
    </w:p>
    <w:p w14:paraId="58F5F7CF" w14:textId="77777777" w:rsidR="00305278" w:rsidRPr="00305278" w:rsidRDefault="00305278" w:rsidP="00305278">
      <w:pPr>
        <w:spacing w:beforeAutospacing="1" w:after="100" w:afterAutospacing="1" w:line="240" w:lineRule="auto"/>
        <w:rPr>
          <w:rFonts w:eastAsia="Times New Roman"/>
          <w:color w:val="auto"/>
          <w:lang w:eastAsia="en-CA" w:bidi="he-IL"/>
        </w:rPr>
      </w:pPr>
      <w:r w:rsidRPr="00305278">
        <w:rPr>
          <w:rFonts w:eastAsia="Times New Roman"/>
          <w:color w:val="auto"/>
          <w:lang w:eastAsia="en-CA" w:bidi="he-IL"/>
        </w:rPr>
        <w:t>It is the sentence … which is the linguistic bearer of the usual theological statement, and not the word (the lexical unit) or the morphological and syntactical connection. Neither the Christian preaching nor the religious structure of ancient Israel … consisted primarily (if at all) in the issuing either of new words or of new word-concepts or of new conceptual ‘content’ for old words. The newness or uniqueness of the structure consisted rather in new combinations of words, in which it was often possible for the semantic value of the words to be changed only slightly or not at all, and for the new or distinctive concept to be indicated by the word-combination. (Barr, 2004, p.263)</w:t>
      </w:r>
    </w:p>
    <w:p w14:paraId="6F3094F1"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lastRenderedPageBreak/>
        <w:t>Barr’s point is that the Apostles did not need to invent new words or create ex nihilo new additions to a word’s range of meanings in order to advance their new theological ideas based on the work of Jesus Christ. Such advancement was done at the sentence level, not the word level.</w:t>
      </w:r>
    </w:p>
    <w:p w14:paraId="35CECC1A"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Barr may have somewhat overstated his case. We do not wish to downplay the impact, even the lexical impact, that the Gospel itself may have had on the Apostles as they strove to write down the sheer indescribable wonder of the Kingdom of God. Such words as </w:t>
      </w:r>
      <w:proofErr w:type="spellStart"/>
      <w:r w:rsidRPr="00305278">
        <w:rPr>
          <w:rFonts w:eastAsia="Times New Roman"/>
          <w:color w:val="auto"/>
          <w:lang w:eastAsia="en-CA" w:bidi="he-IL"/>
        </w:rPr>
        <w:t>δικ</w:t>
      </w:r>
      <w:proofErr w:type="spellEnd"/>
      <w:r w:rsidRPr="00305278">
        <w:rPr>
          <w:rFonts w:eastAsia="Times New Roman"/>
          <w:color w:val="auto"/>
          <w:lang w:eastAsia="en-CA" w:bidi="he-IL"/>
        </w:rPr>
        <w:t>α</w:t>
      </w:r>
      <w:proofErr w:type="spellStart"/>
      <w:r w:rsidRPr="00305278">
        <w:rPr>
          <w:rFonts w:eastAsia="Times New Roman"/>
          <w:color w:val="auto"/>
          <w:lang w:eastAsia="en-CA" w:bidi="he-IL"/>
        </w:rPr>
        <w:t>ιοσύνη</w:t>
      </w:r>
      <w:proofErr w:type="spellEnd"/>
      <w:r w:rsidRPr="00305278">
        <w:rPr>
          <w:rFonts w:eastAsia="Times New Roman"/>
          <w:color w:val="auto"/>
          <w:lang w:eastAsia="en-CA" w:bidi="he-IL"/>
        </w:rPr>
        <w:t>, at the very least, take on new significance and implication.</w:t>
      </w:r>
    </w:p>
    <w:p w14:paraId="5978C029"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Occasionally even Paul, finding existing Greek words insufficient to convey a concept, may have created an entire word from scratch, e.g., </w:t>
      </w:r>
      <w:proofErr w:type="spellStart"/>
      <w:r w:rsidRPr="00305278">
        <w:rPr>
          <w:rFonts w:eastAsia="Times New Roman"/>
          <w:color w:val="auto"/>
          <w:lang w:eastAsia="en-CA" w:bidi="he-IL"/>
        </w:rPr>
        <w:t>θεό</w:t>
      </w:r>
      <w:proofErr w:type="spellEnd"/>
      <w:r w:rsidRPr="00305278">
        <w:rPr>
          <w:rFonts w:eastAsia="Times New Roman"/>
          <w:color w:val="auto"/>
          <w:lang w:eastAsia="en-CA" w:bidi="he-IL"/>
        </w:rPr>
        <w:t>π</w:t>
      </w:r>
      <w:proofErr w:type="spellStart"/>
      <w:r w:rsidRPr="00305278">
        <w:rPr>
          <w:rFonts w:eastAsia="Times New Roman"/>
          <w:color w:val="auto"/>
          <w:lang w:eastAsia="en-CA" w:bidi="he-IL"/>
        </w:rPr>
        <w:t>νευστος</w:t>
      </w:r>
      <w:proofErr w:type="spellEnd"/>
      <w:r w:rsidRPr="00305278">
        <w:rPr>
          <w:rFonts w:eastAsia="Times New Roman"/>
          <w:color w:val="auto"/>
          <w:lang w:eastAsia="en-CA" w:bidi="he-IL"/>
        </w:rPr>
        <w:t>, “God-breathed.” (The word does not appear anywhere in published Greek literature up through the first century except for Second Timothy, though it does appear within the Papias material embedded in Eusebius.)</w:t>
      </w:r>
    </w:p>
    <w:p w14:paraId="0870C003"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Nonetheless, one should assume that the inspired writers of Scripture, far from manifesting a “Holy Spirit language” which infused hitherto unknown theological meanings into words, utilized instead the semantic ranges of their day while relying on combinations of words to transmit their radical theological ideas. That is, they used words in such a way that their audience—usually a mix of Hellenistic Jews and Gentiles, most of them probably possessing a working knowledge of at least the Greek Old Testament—could understand.</w:t>
      </w:r>
    </w:p>
    <w:p w14:paraId="6882E1C5"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That the New Testament was written in the </w:t>
      </w:r>
      <w:proofErr w:type="spellStart"/>
      <w:r w:rsidRPr="00305278">
        <w:rPr>
          <w:rFonts w:eastAsia="Times New Roman"/>
          <w:color w:val="auto"/>
          <w:lang w:eastAsia="en-CA" w:bidi="he-IL"/>
        </w:rPr>
        <w:t>Koine</w:t>
      </w:r>
      <w:proofErr w:type="spellEnd"/>
      <w:r w:rsidRPr="00305278">
        <w:rPr>
          <w:rFonts w:eastAsia="Times New Roman"/>
          <w:color w:val="auto"/>
          <w:lang w:eastAsia="en-CA" w:bidi="he-IL"/>
        </w:rPr>
        <w:t xml:space="preserve"> (or “common”) Greek of the day is almost universally accepted. As my doctoral advisor David Alan Black aptly summarizes, “The New Testament writers do on occasion rise to the literary heights of the Atticists, but on the whole the language of the New Testament parallels so closely the language of the papyri that there can be no doubt that it was written in the same vernacular </w:t>
      </w:r>
      <w:proofErr w:type="spellStart"/>
      <w:r w:rsidRPr="00305278">
        <w:rPr>
          <w:rFonts w:eastAsia="Times New Roman"/>
          <w:color w:val="auto"/>
          <w:lang w:eastAsia="en-CA" w:bidi="he-IL"/>
        </w:rPr>
        <w:t>Koine</w:t>
      </w:r>
      <w:proofErr w:type="spellEnd"/>
      <w:r w:rsidRPr="00305278">
        <w:rPr>
          <w:rFonts w:eastAsia="Times New Roman"/>
          <w:color w:val="auto"/>
          <w:lang w:eastAsia="en-CA" w:bidi="he-IL"/>
        </w:rPr>
        <w:t xml:space="preserve"> Greek” (Black, 1995, p.161).</w:t>
      </w:r>
    </w:p>
    <w:p w14:paraId="001C22A1"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Words are the building blocks of the sentence and so deserve to be studied on their own. Yet all sorts of mistakes lie waiting to ambush the careless expositor, mistakes that are all the worse because they may actually sound good from the pulpit to those unfamiliar with the Greek language (e.g., the common statement that “The Lord loves a ‘hilarious’ giver,” based on </w:t>
      </w:r>
      <w:proofErr w:type="spellStart"/>
      <w:r w:rsidRPr="00305278">
        <w:rPr>
          <w:rFonts w:eastAsia="Times New Roman"/>
          <w:color w:val="auto"/>
          <w:lang w:eastAsia="en-CA" w:bidi="he-IL"/>
        </w:rPr>
        <w:t>ἱλ</w:t>
      </w:r>
      <w:proofErr w:type="spellEnd"/>
      <w:r w:rsidRPr="00305278">
        <w:rPr>
          <w:rFonts w:eastAsia="Times New Roman"/>
          <w:color w:val="auto"/>
          <w:lang w:eastAsia="en-CA" w:bidi="he-IL"/>
        </w:rPr>
        <w:t>α</w:t>
      </w:r>
      <w:proofErr w:type="spellStart"/>
      <w:r w:rsidRPr="00305278">
        <w:rPr>
          <w:rFonts w:eastAsia="Times New Roman"/>
          <w:color w:val="auto"/>
          <w:lang w:eastAsia="en-CA" w:bidi="he-IL"/>
        </w:rPr>
        <w:t>ριός</w:t>
      </w:r>
      <w:proofErr w:type="spellEnd"/>
      <w:r w:rsidRPr="00305278">
        <w:rPr>
          <w:rFonts w:eastAsia="Times New Roman"/>
          <w:color w:val="auto"/>
          <w:lang w:eastAsia="en-CA" w:bidi="he-IL"/>
        </w:rPr>
        <w:t xml:space="preserve"> </w:t>
      </w:r>
      <w:hyperlink r:id="rId12" w:history="1">
        <w:r w:rsidRPr="00305278">
          <w:rPr>
            <w:rFonts w:eastAsia="Times New Roman"/>
            <w:color w:val="0000FF"/>
            <w:u w:val="single"/>
            <w:lang w:eastAsia="en-CA" w:bidi="he-IL"/>
          </w:rPr>
          <w:t>2Cor 9:7</w:t>
        </w:r>
      </w:hyperlink>
      <w:r w:rsidRPr="00305278">
        <w:rPr>
          <w:rFonts w:eastAsia="Times New Roman"/>
          <w:color w:val="auto"/>
          <w:lang w:eastAsia="en-CA" w:bidi="he-IL"/>
        </w:rPr>
        <w:t xml:space="preserve">). The classic manual for helping preachers and students avoid such mistakes is D. A. Carson, </w:t>
      </w:r>
      <w:hyperlink r:id="rId13" w:history="1">
        <w:r w:rsidRPr="00305278">
          <w:rPr>
            <w:rFonts w:eastAsia="Times New Roman"/>
            <w:i/>
            <w:iCs/>
            <w:color w:val="0000FF"/>
            <w:u w:val="single"/>
            <w:lang w:eastAsia="en-CA" w:bidi="he-IL"/>
          </w:rPr>
          <w:t>Exegetical Fallacies</w:t>
        </w:r>
      </w:hyperlink>
      <w:r w:rsidRPr="00305278">
        <w:rPr>
          <w:rFonts w:eastAsia="Times New Roman"/>
          <w:color w:val="auto"/>
          <w:lang w:eastAsia="en-CA" w:bidi="he-IL"/>
        </w:rPr>
        <w:t xml:space="preserve"> (Grand Rapids, MI: Baker, 1984).</w:t>
      </w:r>
    </w:p>
    <w:p w14:paraId="526928B8"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For anybody (like myself) who grew up in a foreign country speaking a second language, the question of how we know what words mean is not merely academic. Failure to understand how words work within our current social context will result in misunderstanding.</w:t>
      </w:r>
    </w:p>
    <w:p w14:paraId="274BF775"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When it comes to handling God’s Word, there is an even greater danger that stems from the misuse of words, namely the danger of declaring “Thus saith the Lord” when, in fact, God has not spoken. The first half this discussion will focus on the difference between words and concepts, while the second half will introduce the reader to the idea of semantic range and how it interacts with context to determine meaning.</w:t>
      </w:r>
    </w:p>
    <w:p w14:paraId="286118D9" w14:textId="77777777" w:rsidR="00305278" w:rsidRPr="00305278" w:rsidRDefault="00305278" w:rsidP="00305278">
      <w:pPr>
        <w:spacing w:before="100" w:beforeAutospacing="1" w:after="100" w:afterAutospacing="1" w:line="240" w:lineRule="auto"/>
        <w:outlineLvl w:val="1"/>
        <w:rPr>
          <w:rFonts w:eastAsia="Times New Roman"/>
          <w:b/>
          <w:bCs/>
          <w:color w:val="auto"/>
          <w:sz w:val="36"/>
          <w:szCs w:val="36"/>
          <w:lang w:eastAsia="en-CA" w:bidi="he-IL"/>
        </w:rPr>
      </w:pPr>
      <w:r w:rsidRPr="00305278">
        <w:rPr>
          <w:rFonts w:eastAsia="Times New Roman"/>
          <w:b/>
          <w:bCs/>
          <w:color w:val="auto"/>
          <w:sz w:val="36"/>
          <w:szCs w:val="36"/>
          <w:lang w:eastAsia="en-CA" w:bidi="he-IL"/>
        </w:rPr>
        <w:t>Words and Concepts: What’s the Difference?</w:t>
      </w:r>
    </w:p>
    <w:p w14:paraId="30031267"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The conflation of “word” and “concept” in the </w:t>
      </w:r>
      <w:hyperlink r:id="rId14" w:history="1">
        <w:r w:rsidRPr="00305278">
          <w:rPr>
            <w:rFonts w:eastAsia="Times New Roman"/>
            <w:i/>
            <w:iCs/>
            <w:color w:val="0000FF"/>
            <w:u w:val="single"/>
            <w:lang w:eastAsia="en-CA" w:bidi="he-IL"/>
          </w:rPr>
          <w:t>Theological Dictionary of the New Testament</w:t>
        </w:r>
      </w:hyperlink>
      <w:r w:rsidRPr="00305278">
        <w:rPr>
          <w:rFonts w:eastAsia="Times New Roman"/>
          <w:color w:val="auto"/>
          <w:lang w:eastAsia="en-CA" w:bidi="he-IL"/>
        </w:rPr>
        <w:t xml:space="preserve"> was the chief foil of James Barr’s </w:t>
      </w:r>
      <w:hyperlink r:id="rId15" w:history="1">
        <w:r w:rsidRPr="00305278">
          <w:rPr>
            <w:rFonts w:eastAsia="Times New Roman"/>
            <w:i/>
            <w:iCs/>
            <w:color w:val="0000FF"/>
            <w:u w:val="single"/>
            <w:lang w:eastAsia="en-CA" w:bidi="he-IL"/>
          </w:rPr>
          <w:t>The Semantics of Biblical Language</w:t>
        </w:r>
      </w:hyperlink>
      <w:r w:rsidRPr="00305278">
        <w:rPr>
          <w:rFonts w:eastAsia="Times New Roman"/>
          <w:color w:val="auto"/>
          <w:lang w:eastAsia="en-CA" w:bidi="he-IL"/>
        </w:rPr>
        <w:t>.</w:t>
      </w:r>
    </w:p>
    <w:p w14:paraId="00E5BD88"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Indeed, “The difficulty here is made much greater by what is one of the most irritating things about </w:t>
      </w:r>
      <w:r w:rsidRPr="00305278">
        <w:rPr>
          <w:rFonts w:eastAsia="Times New Roman"/>
          <w:i/>
          <w:iCs/>
          <w:color w:val="auto"/>
          <w:lang w:eastAsia="en-CA" w:bidi="he-IL"/>
        </w:rPr>
        <w:t>TWNT</w:t>
      </w:r>
      <w:r w:rsidRPr="00305278">
        <w:rPr>
          <w:rFonts w:eastAsia="Times New Roman"/>
          <w:color w:val="auto"/>
          <w:lang w:eastAsia="en-CA" w:bidi="he-IL"/>
        </w:rPr>
        <w:t>, the habit of the writers of saying ‘concept’ (</w:t>
      </w:r>
      <w:proofErr w:type="spellStart"/>
      <w:r w:rsidRPr="00305278">
        <w:rPr>
          <w:rFonts w:eastAsia="Times New Roman"/>
          <w:i/>
          <w:iCs/>
          <w:color w:val="auto"/>
          <w:lang w:eastAsia="en-CA" w:bidi="he-IL"/>
        </w:rPr>
        <w:t>Begriff</w:t>
      </w:r>
      <w:proofErr w:type="spellEnd"/>
      <w:r w:rsidRPr="00305278">
        <w:rPr>
          <w:rFonts w:eastAsia="Times New Roman"/>
          <w:color w:val="auto"/>
          <w:lang w:eastAsia="en-CA" w:bidi="he-IL"/>
        </w:rPr>
        <w:t>) for the linguistic entity usually called a word” (Barr, 2004, p.210).</w:t>
      </w:r>
    </w:p>
    <w:p w14:paraId="08A4C228"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Modern scholars are sometimes guilty of the same mistake. For example, one of the most trusted modern systematic theologies states, “The word [π</w:t>
      </w:r>
      <w:proofErr w:type="spellStart"/>
      <w:r w:rsidRPr="00305278">
        <w:rPr>
          <w:rFonts w:eastAsia="Times New Roman"/>
          <w:color w:val="auto"/>
          <w:lang w:eastAsia="en-CA" w:bidi="he-IL"/>
        </w:rPr>
        <w:t>ρόγνωσις</w:t>
      </w:r>
      <w:proofErr w:type="spellEnd"/>
      <w:r w:rsidRPr="00305278">
        <w:rPr>
          <w:rFonts w:eastAsia="Times New Roman"/>
          <w:color w:val="auto"/>
          <w:lang w:eastAsia="en-CA" w:bidi="he-IL"/>
        </w:rPr>
        <w:t xml:space="preserve">] means more than simply having advance knowledge or precognition of what is to come. It appears to have in its background the Hebrew concept of </w:t>
      </w:r>
      <w:r w:rsidRPr="00305278">
        <w:rPr>
          <w:rFonts w:eastAsia="Times New Roman"/>
          <w:color w:val="auto"/>
          <w:rtl/>
          <w:lang w:eastAsia="en-CA" w:bidi="he-IL"/>
        </w:rPr>
        <w:t>ידע</w:t>
      </w:r>
      <w:r w:rsidRPr="00305278">
        <w:rPr>
          <w:rFonts w:eastAsia="Times New Roman"/>
          <w:color w:val="auto"/>
          <w:lang w:eastAsia="en-CA" w:bidi="he-IL"/>
        </w:rPr>
        <w:t>(yada), which often meant more than simple awareness. It suggested a kind of intimate knowledge—it was even used of sexual intercourse” (Erickson, 2004, p.382).</w:t>
      </w:r>
    </w:p>
    <w:p w14:paraId="33B93167" w14:textId="77777777" w:rsidR="00305278" w:rsidRPr="00305278" w:rsidRDefault="00305278" w:rsidP="00305278">
      <w:pPr>
        <w:spacing w:after="0" w:line="240" w:lineRule="auto"/>
        <w:rPr>
          <w:rFonts w:eastAsia="Times New Roman"/>
          <w:color w:val="auto"/>
          <w:lang w:eastAsia="en-CA" w:bidi="he-IL"/>
        </w:rPr>
      </w:pPr>
      <w:r w:rsidRPr="00305278">
        <w:rPr>
          <w:rFonts w:eastAsia="Times New Roman"/>
          <w:noProof/>
          <w:color w:val="0000FF"/>
          <w:lang w:eastAsia="en-CA" w:bidi="he-IL"/>
        </w:rPr>
        <w:drawing>
          <wp:inline distT="0" distB="0" distL="0" distR="0" wp14:anchorId="5A25E384" wp14:editId="7A963423">
            <wp:extent cx="8038465" cy="4981575"/>
            <wp:effectExtent l="0" t="0" r="635" b="9525"/>
            <wp:docPr id="4" name="Picture 4" descr="screensho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38465" cy="4981575"/>
                    </a:xfrm>
                    <a:prstGeom prst="rect">
                      <a:avLst/>
                    </a:prstGeom>
                    <a:noFill/>
                    <a:ln>
                      <a:noFill/>
                    </a:ln>
                  </pic:spPr>
                </pic:pic>
              </a:graphicData>
            </a:graphic>
          </wp:inline>
        </w:drawing>
      </w:r>
    </w:p>
    <w:p w14:paraId="62A91C96"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Sense Section, a Logos Pro Tutorial</w:t>
      </w:r>
    </w:p>
    <w:p w14:paraId="0CBA98B9"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Yet there is no such thing as “the Hebrew concept of </w:t>
      </w:r>
      <w:r w:rsidRPr="00305278">
        <w:rPr>
          <w:rFonts w:eastAsia="Times New Roman"/>
          <w:color w:val="auto"/>
          <w:rtl/>
          <w:lang w:eastAsia="en-CA" w:bidi="he-IL"/>
        </w:rPr>
        <w:t>ידע</w:t>
      </w:r>
      <w:r w:rsidRPr="00305278">
        <w:rPr>
          <w:rFonts w:eastAsia="Times New Roman"/>
          <w:color w:val="auto"/>
          <w:lang w:eastAsia="en-CA" w:bidi="he-IL"/>
        </w:rPr>
        <w:t>” simply because “</w:t>
      </w:r>
      <w:r w:rsidRPr="00305278">
        <w:rPr>
          <w:rFonts w:eastAsia="Times New Roman"/>
          <w:color w:val="auto"/>
          <w:rtl/>
          <w:lang w:eastAsia="en-CA" w:bidi="he-IL"/>
        </w:rPr>
        <w:t>ידע</w:t>
      </w:r>
      <w:r w:rsidRPr="00305278">
        <w:rPr>
          <w:rFonts w:eastAsia="Times New Roman"/>
          <w:color w:val="auto"/>
          <w:lang w:eastAsia="en-CA" w:bidi="he-IL"/>
        </w:rPr>
        <w:t>” is a word, not a concept (and even Erickson shows awareness that this word points to different types of concepts, from “the state of possessing simple awareness of a person or object” to “the state of possessing intimate knowledge of somebody” to “engaging in sexual intercourse”).</w:t>
      </w:r>
    </w:p>
    <w:p w14:paraId="6D81B47D"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It would have been more accurate to say, “The Hebrew word </w:t>
      </w:r>
      <w:r w:rsidRPr="00305278">
        <w:rPr>
          <w:rFonts w:eastAsia="Times New Roman"/>
          <w:color w:val="auto"/>
          <w:rtl/>
          <w:lang w:eastAsia="en-CA" w:bidi="he-IL"/>
        </w:rPr>
        <w:t>ידע</w:t>
      </w:r>
      <w:r w:rsidRPr="00305278">
        <w:rPr>
          <w:rFonts w:eastAsia="Times New Roman"/>
          <w:color w:val="auto"/>
          <w:lang w:eastAsia="en-CA" w:bidi="he-IL"/>
        </w:rPr>
        <w:t xml:space="preserve"> can point to multiple concepts, including concepts which include more than simple </w:t>
      </w:r>
      <w:proofErr w:type="spellStart"/>
      <w:r w:rsidRPr="00305278">
        <w:rPr>
          <w:rFonts w:eastAsia="Times New Roman"/>
          <w:color w:val="auto"/>
          <w:lang w:eastAsia="en-CA" w:bidi="he-IL"/>
        </w:rPr>
        <w:t>knowledge.”By</w:t>
      </w:r>
      <w:proofErr w:type="spellEnd"/>
      <w:r w:rsidRPr="00305278">
        <w:rPr>
          <w:rFonts w:eastAsia="Times New Roman"/>
          <w:color w:val="auto"/>
          <w:lang w:eastAsia="en-CA" w:bidi="he-IL"/>
        </w:rPr>
        <w:t xml:space="preserve"> definition, “Concepts … are abstract entities” (Katz, 1972, p.38; cf. Church, 1951, pp.110-113).</w:t>
      </w:r>
    </w:p>
    <w:p w14:paraId="23F623F6"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I will take this a step further and suggest that “concepts are ideas, both abstract and concrete, which can be represented by words.” A concept cannot be tied down to a single word, because words change meaning over time while concepts are (if the reader will pardon some Platonic speculation) eternal in the mind of God.</w:t>
      </w:r>
    </w:p>
    <w:p w14:paraId="34CE5448"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In other words, the concept “a mode of transportation on four wheels that runs on gasoline designed to seat 1-6 passengers” is “out there” regardless of which word represents it, whereas words such as “automobile,” “car,” </w:t>
      </w:r>
      <w:proofErr w:type="spellStart"/>
      <w:r w:rsidRPr="00305278">
        <w:rPr>
          <w:rFonts w:eastAsia="Times New Roman"/>
          <w:i/>
          <w:iCs/>
          <w:color w:val="auto"/>
          <w:lang w:eastAsia="en-CA" w:bidi="he-IL"/>
        </w:rPr>
        <w:t>kuruma</w:t>
      </w:r>
      <w:proofErr w:type="spellEnd"/>
      <w:r w:rsidRPr="00305278">
        <w:rPr>
          <w:rFonts w:eastAsia="Times New Roman"/>
          <w:color w:val="auto"/>
          <w:lang w:eastAsia="en-CA" w:bidi="he-IL"/>
        </w:rPr>
        <w:t xml:space="preserve"> (Japanese), and </w:t>
      </w:r>
      <w:r w:rsidRPr="00305278">
        <w:rPr>
          <w:rFonts w:eastAsia="Times New Roman"/>
          <w:i/>
          <w:iCs/>
          <w:color w:val="auto"/>
          <w:lang w:eastAsia="en-CA" w:bidi="he-IL"/>
        </w:rPr>
        <w:t>voiture</w:t>
      </w:r>
      <w:r w:rsidRPr="00305278">
        <w:rPr>
          <w:rFonts w:eastAsia="Times New Roman"/>
          <w:color w:val="auto"/>
          <w:lang w:eastAsia="en-CA" w:bidi="he-IL"/>
        </w:rPr>
        <w:t xml:space="preserve"> (French) are not inseparably tied to that concept, but may at a particular state of a language’s development point to that concept.</w:t>
      </w:r>
    </w:p>
    <w:p w14:paraId="6A8425AC"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Already the astute reader will recognize just how “fuzzy” the relationship between word and concept becomes. The fact is, the concept “a mode of transportation on four wheels that runs on gasoline designed to seat 1-6 passengers” can be reflected in both the word “car” and the word “truck,” yet almost everybody would acknowledge that “cars” and “trucks” are two different things.</w:t>
      </w:r>
    </w:p>
    <w:p w14:paraId="6AA61751" w14:textId="77777777" w:rsidR="00305278" w:rsidRPr="00305278" w:rsidRDefault="00305278" w:rsidP="00305278">
      <w:pPr>
        <w:spacing w:after="0" w:line="240" w:lineRule="auto"/>
        <w:rPr>
          <w:rFonts w:eastAsia="Times New Roman"/>
          <w:color w:val="auto"/>
          <w:lang w:eastAsia="en-CA" w:bidi="he-IL"/>
        </w:rPr>
      </w:pPr>
      <w:r w:rsidRPr="00305278">
        <w:rPr>
          <w:rFonts w:eastAsia="Times New Roman"/>
          <w:noProof/>
          <w:color w:val="0000FF"/>
          <w:lang w:eastAsia="en-CA" w:bidi="he-IL"/>
        </w:rPr>
        <w:drawing>
          <wp:inline distT="0" distB="0" distL="0" distR="0" wp14:anchorId="6F5B2636" wp14:editId="16D5DD6E">
            <wp:extent cx="8058785" cy="4954270"/>
            <wp:effectExtent l="0" t="0" r="0" b="0"/>
            <wp:docPr id="3" name="Picture 3" descr="screensho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58785" cy="4954270"/>
                    </a:xfrm>
                    <a:prstGeom prst="rect">
                      <a:avLst/>
                    </a:prstGeom>
                    <a:noFill/>
                    <a:ln>
                      <a:noFill/>
                    </a:ln>
                  </pic:spPr>
                </pic:pic>
              </a:graphicData>
            </a:graphic>
          </wp:inline>
        </w:drawing>
      </w:r>
    </w:p>
    <w:p w14:paraId="00D9647B"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Cultural Concepts, a Logos Pro Tutorial</w:t>
      </w:r>
    </w:p>
    <w:p w14:paraId="2EF0854C"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They may also point to other concepts in the same time period or may share the same concept with other words. As time progresses, the same word may cease pointing to one concept and point to another instead, making arguments based on etymology rather dangerous (more on this in the second post).</w:t>
      </w:r>
    </w:p>
    <w:p w14:paraId="5C367A71"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noProof/>
          <w:color w:val="0000FF"/>
          <w:lang w:eastAsia="en-CA" w:bidi="he-IL"/>
        </w:rPr>
        <w:drawing>
          <wp:inline distT="0" distB="0" distL="0" distR="0" wp14:anchorId="259C8986" wp14:editId="015494E1">
            <wp:extent cx="8045450" cy="4408170"/>
            <wp:effectExtent l="0" t="0" r="0" b="0"/>
            <wp:docPr id="2" name="Picture 2" descr="image0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45450" cy="4408170"/>
                    </a:xfrm>
                    <a:prstGeom prst="rect">
                      <a:avLst/>
                    </a:prstGeom>
                    <a:noFill/>
                    <a:ln>
                      <a:noFill/>
                    </a:ln>
                  </pic:spPr>
                </pic:pic>
              </a:graphicData>
            </a:graphic>
          </wp:inline>
        </w:drawing>
      </w:r>
    </w:p>
    <w:p w14:paraId="3104317B" w14:textId="77777777" w:rsidR="00305278" w:rsidRPr="00305278" w:rsidRDefault="00305278" w:rsidP="00305278">
      <w:pPr>
        <w:spacing w:before="100" w:beforeAutospacing="1" w:after="100" w:afterAutospacing="1" w:line="240" w:lineRule="auto"/>
        <w:outlineLvl w:val="1"/>
        <w:rPr>
          <w:rFonts w:eastAsia="Times New Roman"/>
          <w:b/>
          <w:bCs/>
          <w:color w:val="auto"/>
          <w:sz w:val="36"/>
          <w:szCs w:val="36"/>
          <w:lang w:eastAsia="en-CA" w:bidi="he-IL"/>
        </w:rPr>
      </w:pPr>
      <w:r w:rsidRPr="00305278">
        <w:rPr>
          <w:rFonts w:eastAsia="Times New Roman"/>
          <w:b/>
          <w:bCs/>
          <w:color w:val="auto"/>
          <w:sz w:val="36"/>
          <w:szCs w:val="36"/>
          <w:lang w:eastAsia="en-CA" w:bidi="he-IL"/>
        </w:rPr>
        <w:t>Key Points</w:t>
      </w:r>
    </w:p>
    <w:p w14:paraId="08EB178D"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In light of this discussion, here are two key points for the study of biblical words and concepts.</w:t>
      </w:r>
    </w:p>
    <w:p w14:paraId="3DF323DC" w14:textId="77777777" w:rsidR="00305278" w:rsidRPr="00305278" w:rsidRDefault="00305278" w:rsidP="00305278">
      <w:pPr>
        <w:spacing w:before="100" w:beforeAutospacing="1" w:after="100" w:afterAutospacing="1" w:line="240" w:lineRule="auto"/>
        <w:outlineLvl w:val="2"/>
        <w:rPr>
          <w:rFonts w:eastAsia="Times New Roman"/>
          <w:b/>
          <w:bCs/>
          <w:color w:val="auto"/>
          <w:sz w:val="27"/>
          <w:szCs w:val="27"/>
          <w:lang w:eastAsia="en-CA" w:bidi="he-IL"/>
        </w:rPr>
      </w:pPr>
      <w:r w:rsidRPr="00305278">
        <w:rPr>
          <w:rFonts w:eastAsia="Times New Roman"/>
          <w:b/>
          <w:bCs/>
          <w:color w:val="auto"/>
          <w:sz w:val="27"/>
          <w:szCs w:val="27"/>
          <w:lang w:eastAsia="en-CA" w:bidi="he-IL"/>
        </w:rPr>
        <w:t>One word, multiple concepts</w:t>
      </w:r>
    </w:p>
    <w:p w14:paraId="33B38C22"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First, a </w:t>
      </w:r>
      <w:r w:rsidRPr="00305278">
        <w:rPr>
          <w:rFonts w:eastAsia="Times New Roman"/>
          <w:i/>
          <w:iCs/>
          <w:color w:val="auto"/>
          <w:lang w:eastAsia="en-CA" w:bidi="he-IL"/>
        </w:rPr>
        <w:t>word</w:t>
      </w:r>
      <w:r w:rsidRPr="00305278">
        <w:rPr>
          <w:rFonts w:eastAsia="Times New Roman"/>
          <w:color w:val="auto"/>
          <w:lang w:eastAsia="en-CA" w:bidi="he-IL"/>
        </w:rPr>
        <w:t xml:space="preserve"> can point to multiple concepts, but usually not all at once. In my hermeneutics class, I have my students think of all the possible meanings of the English word “play” (just the verb), and they are usually able to come up with a minimum of six, sometimes more.</w:t>
      </w:r>
    </w:p>
    <w:p w14:paraId="0A13CCB2"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So “play” can mean “take part in a formal dramatic production” (e.g., “I played Hamlet in the college production”) or “participate in a structured athletic competition” (“He played football in high school”) or simply “to casually amuse oneself” (“go outside and play”).</w:t>
      </w:r>
    </w:p>
    <w:p w14:paraId="34A0820F"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Very rarely are any of those meanings implied at the same time. Playing Hamlet in the college dramatic production generally does not involve an athletic competition (though which of us would not pay good money to see Shakespeare combined with football?). Furthermore, playing in a football game may involve the opposite of amusement, especially when one is injured!</w:t>
      </w:r>
    </w:p>
    <w:p w14:paraId="0CAA5889"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The point is that when we use a word, we usually only have one meaning in mind—the exceptions are those infamous puns, double </w:t>
      </w:r>
      <w:proofErr w:type="spellStart"/>
      <w:r w:rsidRPr="00305278">
        <w:rPr>
          <w:rFonts w:eastAsia="Times New Roman"/>
          <w:color w:val="auto"/>
          <w:lang w:eastAsia="en-CA" w:bidi="he-IL"/>
        </w:rPr>
        <w:t>entendres</w:t>
      </w:r>
      <w:proofErr w:type="spellEnd"/>
      <w:r w:rsidRPr="00305278">
        <w:rPr>
          <w:rFonts w:eastAsia="Times New Roman"/>
          <w:color w:val="auto"/>
          <w:lang w:eastAsia="en-CA" w:bidi="he-IL"/>
        </w:rPr>
        <w:t>, and occasional deliberate ambiguities. When we give people the impression that a particular word has a whole bunch of meanings all at the same time, we are committing what is commonly referred to as the “illegitimate totality transfer” fallacy.</w:t>
      </w:r>
    </w:p>
    <w:p w14:paraId="7E134680"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Likewise, when a biblical author uses a word, he almost certainly intends the reader to understand only one concept (though we cannot rule out occasional deliberate ambiguity).</w:t>
      </w:r>
    </w:p>
    <w:p w14:paraId="44848852" w14:textId="77777777" w:rsidR="00305278" w:rsidRPr="00305278" w:rsidRDefault="00305278" w:rsidP="00305278">
      <w:pPr>
        <w:spacing w:before="100" w:beforeAutospacing="1" w:after="100" w:afterAutospacing="1" w:line="240" w:lineRule="auto"/>
        <w:outlineLvl w:val="2"/>
        <w:rPr>
          <w:rFonts w:eastAsia="Times New Roman"/>
          <w:b/>
          <w:bCs/>
          <w:color w:val="auto"/>
          <w:sz w:val="27"/>
          <w:szCs w:val="27"/>
          <w:lang w:eastAsia="en-CA" w:bidi="he-IL"/>
        </w:rPr>
      </w:pPr>
      <w:r w:rsidRPr="00305278">
        <w:rPr>
          <w:rFonts w:eastAsia="Times New Roman"/>
          <w:b/>
          <w:bCs/>
          <w:color w:val="auto"/>
          <w:sz w:val="27"/>
          <w:szCs w:val="27"/>
          <w:lang w:eastAsia="en-CA" w:bidi="he-IL"/>
        </w:rPr>
        <w:t>One concept, many words</w:t>
      </w:r>
    </w:p>
    <w:p w14:paraId="2B6E9A51"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Secondly, on the other side of the coin, if you’re studying a </w:t>
      </w:r>
      <w:r w:rsidRPr="00305278">
        <w:rPr>
          <w:rFonts w:eastAsia="Times New Roman"/>
          <w:i/>
          <w:iCs/>
          <w:color w:val="auto"/>
          <w:lang w:eastAsia="en-CA" w:bidi="he-IL"/>
        </w:rPr>
        <w:t>concept</w:t>
      </w:r>
      <w:r w:rsidRPr="00305278">
        <w:rPr>
          <w:rFonts w:eastAsia="Times New Roman"/>
          <w:color w:val="auto"/>
          <w:lang w:eastAsia="en-CA" w:bidi="he-IL"/>
        </w:rPr>
        <w:t xml:space="preserve"> in the Bible, you need to understand all the words and expressions that can point to that concept. In other words, you cannot claim to have completed a study of “God’s affection for his people” if the only passages you study are those that contain </w:t>
      </w:r>
      <w:proofErr w:type="spellStart"/>
      <w:r w:rsidRPr="00305278">
        <w:rPr>
          <w:rFonts w:eastAsia="Times New Roman"/>
          <w:color w:val="auto"/>
          <w:lang w:eastAsia="en-CA" w:bidi="he-IL"/>
        </w:rPr>
        <w:t>ἀγά</w:t>
      </w:r>
      <w:proofErr w:type="spellEnd"/>
      <w:r w:rsidRPr="00305278">
        <w:rPr>
          <w:rFonts w:eastAsia="Times New Roman"/>
          <w:color w:val="auto"/>
          <w:lang w:eastAsia="en-CA" w:bidi="he-IL"/>
        </w:rPr>
        <w:t>πη.</w:t>
      </w:r>
    </w:p>
    <w:p w14:paraId="4D22D7D0"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You would also have to study </w:t>
      </w:r>
      <w:proofErr w:type="spellStart"/>
      <w:r w:rsidRPr="00305278">
        <w:rPr>
          <w:rFonts w:eastAsia="Times New Roman"/>
          <w:color w:val="auto"/>
          <w:lang w:eastAsia="en-CA" w:bidi="he-IL"/>
        </w:rPr>
        <w:t>φιλέω</w:t>
      </w:r>
      <w:proofErr w:type="spellEnd"/>
      <w:r w:rsidRPr="00305278">
        <w:rPr>
          <w:rFonts w:eastAsia="Times New Roman"/>
          <w:color w:val="auto"/>
          <w:lang w:eastAsia="en-CA" w:bidi="he-IL"/>
        </w:rPr>
        <w:t xml:space="preserve"> (e.g., </w:t>
      </w:r>
      <w:hyperlink r:id="rId22" w:history="1">
        <w:r w:rsidRPr="00305278">
          <w:rPr>
            <w:rFonts w:eastAsia="Times New Roman"/>
            <w:color w:val="0000FF"/>
            <w:u w:val="single"/>
            <w:lang w:eastAsia="en-CA" w:bidi="he-IL"/>
          </w:rPr>
          <w:t>John 16:27</w:t>
        </w:r>
      </w:hyperlink>
      <w:r w:rsidRPr="00305278">
        <w:rPr>
          <w:rFonts w:eastAsia="Times New Roman"/>
          <w:color w:val="auto"/>
          <w:lang w:eastAsia="en-CA" w:bidi="he-IL"/>
        </w:rPr>
        <w:t xml:space="preserve">), as well as passages where neither </w:t>
      </w:r>
      <w:proofErr w:type="spellStart"/>
      <w:r w:rsidRPr="00305278">
        <w:rPr>
          <w:rFonts w:eastAsia="Times New Roman"/>
          <w:color w:val="auto"/>
          <w:lang w:eastAsia="en-CA" w:bidi="he-IL"/>
        </w:rPr>
        <w:t>ἀγά</w:t>
      </w:r>
      <w:proofErr w:type="spellEnd"/>
      <w:r w:rsidRPr="00305278">
        <w:rPr>
          <w:rFonts w:eastAsia="Times New Roman"/>
          <w:color w:val="auto"/>
          <w:lang w:eastAsia="en-CA" w:bidi="he-IL"/>
        </w:rPr>
        <w:t xml:space="preserve">πη nor </w:t>
      </w:r>
      <w:proofErr w:type="spellStart"/>
      <w:r w:rsidRPr="00305278">
        <w:rPr>
          <w:rFonts w:eastAsia="Times New Roman"/>
          <w:color w:val="auto"/>
          <w:lang w:eastAsia="en-CA" w:bidi="he-IL"/>
        </w:rPr>
        <w:t>φιλέω</w:t>
      </w:r>
      <w:proofErr w:type="spellEnd"/>
      <w:r w:rsidRPr="00305278">
        <w:rPr>
          <w:rFonts w:eastAsia="Times New Roman"/>
          <w:color w:val="auto"/>
          <w:lang w:eastAsia="en-CA" w:bidi="he-IL"/>
        </w:rPr>
        <w:t xml:space="preserve"> occur but God’s love is still clearly being evidenced, such as Jesus’ death on the cross. As David Alan Black warns, “A theological concept cannot be discussed in an article about a single word” (Black, 1995, p.123).</w:t>
      </w:r>
    </w:p>
    <w:p w14:paraId="4CBE1DDA"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So how, then, do we figure out what words mean? That will be the focus of the second post, as we look at “context” and “semantic range.”</w:t>
      </w:r>
    </w:p>
    <w:p w14:paraId="348C257D"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noProof/>
          <w:color w:val="0000FF"/>
          <w:lang w:eastAsia="en-CA" w:bidi="he-IL"/>
        </w:rPr>
        <w:drawing>
          <wp:inline distT="0" distB="0" distL="0" distR="0" wp14:anchorId="24E01BE2" wp14:editId="449A8405">
            <wp:extent cx="1426210" cy="1426210"/>
            <wp:effectExtent l="0" t="0" r="2540" b="2540"/>
            <wp:docPr id="1" name="Picture 1" descr="0-copy">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copy">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inline>
        </w:drawing>
      </w:r>
    </w:p>
    <w:p w14:paraId="7F86F875"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i/>
          <w:iCs/>
          <w:color w:val="auto"/>
          <w:lang w:eastAsia="en-CA" w:bidi="he-IL"/>
        </w:rPr>
        <w:t xml:space="preserve">Paul Himes is professor of Bible and Ancient Languages at Baptist College of Ministry (Menomonee Falls, WI). He received his Ph.D. in New Testament in 2014 under Dr. David Alan Black at Southeastern Baptist Theological Seminary. He is the author of </w:t>
      </w:r>
      <w:hyperlink r:id="rId25" w:history="1">
        <w:r w:rsidRPr="00305278">
          <w:rPr>
            <w:rFonts w:eastAsia="Times New Roman"/>
            <w:color w:val="0000FF"/>
            <w:u w:val="single"/>
            <w:lang w:eastAsia="en-CA" w:bidi="he-IL"/>
          </w:rPr>
          <w:t>Foreknowledge and Social Identity in 1 Peter</w:t>
        </w:r>
      </w:hyperlink>
      <w:r w:rsidRPr="00305278">
        <w:rPr>
          <w:rFonts w:eastAsia="Times New Roman"/>
          <w:i/>
          <w:iCs/>
          <w:color w:val="auto"/>
          <w:lang w:eastAsia="en-CA" w:bidi="he-IL"/>
        </w:rPr>
        <w:t xml:space="preserve"> (Pickwick, 2014).</w:t>
      </w:r>
    </w:p>
    <w:p w14:paraId="77F6AEB7"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w:t>
      </w:r>
    </w:p>
    <w:p w14:paraId="4D99993E" w14:textId="77777777" w:rsidR="00305278" w:rsidRPr="00305278" w:rsidRDefault="00305278" w:rsidP="00305278">
      <w:pPr>
        <w:spacing w:before="100" w:beforeAutospacing="1" w:after="100" w:afterAutospacing="1" w:line="240" w:lineRule="auto"/>
        <w:outlineLvl w:val="2"/>
        <w:rPr>
          <w:rFonts w:eastAsia="Times New Roman"/>
          <w:b/>
          <w:bCs/>
          <w:color w:val="auto"/>
          <w:sz w:val="27"/>
          <w:szCs w:val="27"/>
          <w:lang w:eastAsia="en-CA" w:bidi="he-IL"/>
        </w:rPr>
      </w:pPr>
      <w:r w:rsidRPr="00305278">
        <w:rPr>
          <w:rFonts w:eastAsia="Times New Roman"/>
          <w:b/>
          <w:bCs/>
          <w:color w:val="auto"/>
          <w:sz w:val="27"/>
          <w:szCs w:val="27"/>
          <w:lang w:eastAsia="en-CA" w:bidi="he-IL"/>
        </w:rPr>
        <w:t>Bibliography</w:t>
      </w:r>
    </w:p>
    <w:p w14:paraId="1898B59E"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Barr, J. (2004) </w:t>
      </w:r>
      <w:r w:rsidRPr="00305278">
        <w:rPr>
          <w:rFonts w:eastAsia="Times New Roman"/>
          <w:i/>
          <w:iCs/>
          <w:color w:val="auto"/>
          <w:lang w:eastAsia="en-CA" w:bidi="he-IL"/>
        </w:rPr>
        <w:t>The Semantics of Biblical Language</w:t>
      </w:r>
      <w:r w:rsidRPr="00305278">
        <w:rPr>
          <w:rFonts w:eastAsia="Times New Roman"/>
          <w:color w:val="auto"/>
          <w:lang w:eastAsia="en-CA" w:bidi="he-IL"/>
        </w:rPr>
        <w:t>, reprint. Eugene, OR: Wipf &amp; Stock.</w:t>
      </w:r>
    </w:p>
    <w:p w14:paraId="357C3CED"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Black, D. A. (1995)</w:t>
      </w:r>
      <w:r w:rsidRPr="00305278">
        <w:rPr>
          <w:rFonts w:eastAsia="Times New Roman"/>
          <w:i/>
          <w:iCs/>
          <w:color w:val="auto"/>
          <w:lang w:eastAsia="en-CA" w:bidi="he-IL"/>
        </w:rPr>
        <w:t> </w:t>
      </w:r>
      <w:hyperlink r:id="rId26" w:history="1">
        <w:r w:rsidRPr="00305278">
          <w:rPr>
            <w:rFonts w:eastAsia="Times New Roman"/>
            <w:i/>
            <w:iCs/>
            <w:color w:val="0000FF"/>
            <w:u w:val="single"/>
            <w:lang w:eastAsia="en-CA" w:bidi="he-IL"/>
          </w:rPr>
          <w:t>Linguistics for Students of New Testament Greek</w:t>
        </w:r>
      </w:hyperlink>
      <w:r w:rsidRPr="00305278">
        <w:rPr>
          <w:rFonts w:eastAsia="Times New Roman"/>
          <w:color w:val="auto"/>
          <w:lang w:eastAsia="en-CA" w:bidi="he-IL"/>
        </w:rPr>
        <w:t>, 2nd ed. Grand Rapids, MI: Baker.</w:t>
      </w:r>
    </w:p>
    <w:p w14:paraId="7A3A115B"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Church, A. (1951) “The Need for Abstract Entities,” </w:t>
      </w:r>
      <w:r w:rsidRPr="00305278">
        <w:rPr>
          <w:rFonts w:eastAsia="Times New Roman"/>
          <w:i/>
          <w:iCs/>
          <w:color w:val="auto"/>
          <w:lang w:eastAsia="en-CA" w:bidi="he-IL"/>
        </w:rPr>
        <w:t>American Academy of Arts and Sciences Proceedings</w:t>
      </w:r>
      <w:r w:rsidRPr="00305278">
        <w:rPr>
          <w:rFonts w:eastAsia="Times New Roman"/>
          <w:color w:val="auto"/>
          <w:lang w:eastAsia="en-CA" w:bidi="he-IL"/>
        </w:rPr>
        <w:t xml:space="preserve"> 80, pp. 100-112. Reprinted as Church, A. (2001 ) “</w:t>
      </w:r>
      <w:proofErr w:type="spellStart"/>
      <w:r w:rsidRPr="00305278">
        <w:rPr>
          <w:rFonts w:eastAsia="Times New Roman"/>
          <w:color w:val="auto"/>
          <w:lang w:eastAsia="en-CA" w:bidi="he-IL"/>
        </w:rPr>
        <w:t>Intensional</w:t>
      </w:r>
      <w:proofErr w:type="spellEnd"/>
      <w:r w:rsidRPr="00305278">
        <w:rPr>
          <w:rFonts w:eastAsia="Times New Roman"/>
          <w:color w:val="auto"/>
          <w:lang w:eastAsia="en-CA" w:bidi="he-IL"/>
        </w:rPr>
        <w:t xml:space="preserve"> Semantics,” pages 61-68 in </w:t>
      </w:r>
      <w:r w:rsidRPr="00305278">
        <w:rPr>
          <w:rFonts w:eastAsia="Times New Roman"/>
          <w:i/>
          <w:iCs/>
          <w:color w:val="auto"/>
          <w:lang w:eastAsia="en-CA" w:bidi="he-IL"/>
        </w:rPr>
        <w:t>The Philosophy of Language</w:t>
      </w:r>
      <w:r w:rsidRPr="00305278">
        <w:rPr>
          <w:rFonts w:eastAsia="Times New Roman"/>
          <w:color w:val="auto"/>
          <w:lang w:eastAsia="en-CA" w:bidi="he-IL"/>
        </w:rPr>
        <w:t>, ed. A. P. Martinich, 4th ed. New York: Oxford University Press.</w:t>
      </w:r>
    </w:p>
    <w:p w14:paraId="20B8D848"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Erickson, M. J. (2004) </w:t>
      </w:r>
      <w:hyperlink r:id="rId27" w:anchor="001?utm_source=academic.logos.com&amp;utm_medium=blog&amp;utm_content=2017-03-10-himes-meaning-part1&amp;utm_campaign=promo-logospro2017" w:history="1">
        <w:r w:rsidRPr="00305278">
          <w:rPr>
            <w:rFonts w:eastAsia="Times New Roman"/>
            <w:i/>
            <w:iCs/>
            <w:color w:val="0000FF"/>
            <w:u w:val="single"/>
            <w:lang w:eastAsia="en-CA" w:bidi="he-IL"/>
          </w:rPr>
          <w:t>Christian Theology</w:t>
        </w:r>
      </w:hyperlink>
      <w:r w:rsidRPr="00305278">
        <w:rPr>
          <w:rFonts w:eastAsia="Times New Roman"/>
          <w:color w:val="auto"/>
          <w:lang w:eastAsia="en-CA" w:bidi="he-IL"/>
        </w:rPr>
        <w:t>, 2nd ed. Grand Rapids, MI: Baker.</w:t>
      </w:r>
    </w:p>
    <w:p w14:paraId="6E4DFE2C" w14:textId="77777777" w:rsid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Katz, J. J. (1972) </w:t>
      </w:r>
      <w:r w:rsidRPr="00305278">
        <w:rPr>
          <w:rFonts w:eastAsia="Times New Roman"/>
          <w:i/>
          <w:iCs/>
          <w:color w:val="auto"/>
          <w:lang w:eastAsia="en-CA" w:bidi="he-IL"/>
        </w:rPr>
        <w:t>Semantic Theory.</w:t>
      </w:r>
      <w:r w:rsidRPr="00305278">
        <w:rPr>
          <w:rFonts w:eastAsia="Times New Roman"/>
          <w:color w:val="auto"/>
          <w:lang w:eastAsia="en-CA" w:bidi="he-IL"/>
        </w:rPr>
        <w:t> New York: Harper &amp; Row.</w:t>
      </w:r>
    </w:p>
    <w:p w14:paraId="411CCAC8" w14:textId="77777777" w:rsidR="00305278" w:rsidRDefault="00305278">
      <w:pPr>
        <w:rPr>
          <w:rFonts w:eastAsia="Times New Roman"/>
          <w:color w:val="auto"/>
          <w:lang w:eastAsia="en-CA" w:bidi="he-IL"/>
        </w:rPr>
      </w:pPr>
      <w:r>
        <w:rPr>
          <w:rFonts w:eastAsia="Times New Roman"/>
          <w:color w:val="auto"/>
          <w:lang w:eastAsia="en-CA" w:bidi="he-IL"/>
        </w:rPr>
        <w:br w:type="page"/>
      </w:r>
    </w:p>
    <w:p w14:paraId="089C2A9C" w14:textId="77777777" w:rsidR="00305278" w:rsidRPr="00305278" w:rsidRDefault="00305278" w:rsidP="00305278">
      <w:pPr>
        <w:spacing w:before="100" w:beforeAutospacing="1" w:after="100" w:afterAutospacing="1" w:line="240" w:lineRule="auto"/>
        <w:outlineLvl w:val="0"/>
        <w:rPr>
          <w:rFonts w:eastAsia="Times New Roman"/>
          <w:b/>
          <w:bCs/>
          <w:color w:val="auto"/>
          <w:kern w:val="36"/>
          <w:lang w:eastAsia="en-CA" w:bidi="he-IL"/>
        </w:rPr>
      </w:pPr>
      <w:r w:rsidRPr="00305278">
        <w:rPr>
          <w:rFonts w:eastAsia="Times New Roman"/>
          <w:b/>
          <w:bCs/>
          <w:color w:val="auto"/>
          <w:kern w:val="36"/>
          <w:lang w:eastAsia="en-CA" w:bidi="he-IL"/>
        </w:rPr>
        <w:t>https://academic.logos.com/the-meaning-of-words-part-2-context-and-semantic-range/</w:t>
      </w:r>
    </w:p>
    <w:p w14:paraId="6A1B4EE1" w14:textId="77777777" w:rsidR="00305278" w:rsidRPr="00305278" w:rsidRDefault="00305278" w:rsidP="00305278">
      <w:pPr>
        <w:spacing w:before="100" w:beforeAutospacing="1" w:after="100" w:afterAutospacing="1" w:line="240" w:lineRule="auto"/>
        <w:outlineLvl w:val="0"/>
        <w:rPr>
          <w:rFonts w:eastAsia="Times New Roman"/>
          <w:b/>
          <w:bCs/>
          <w:color w:val="auto"/>
          <w:kern w:val="36"/>
          <w:sz w:val="48"/>
          <w:szCs w:val="48"/>
          <w:lang w:eastAsia="en-CA" w:bidi="he-IL"/>
        </w:rPr>
      </w:pPr>
      <w:r w:rsidRPr="00305278">
        <w:rPr>
          <w:rFonts w:eastAsia="Times New Roman"/>
          <w:b/>
          <w:bCs/>
          <w:color w:val="auto"/>
          <w:kern w:val="36"/>
          <w:sz w:val="48"/>
          <w:szCs w:val="48"/>
          <w:lang w:eastAsia="en-CA" w:bidi="he-IL"/>
        </w:rPr>
        <w:t>The Meaning of Words, Part 2: Context and Semantic Range</w:t>
      </w:r>
    </w:p>
    <w:p w14:paraId="34ADEE06"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March 31, 2017 by </w:t>
      </w:r>
      <w:hyperlink r:id="rId28" w:history="1">
        <w:proofErr w:type="spellStart"/>
        <w:r w:rsidRPr="00305278">
          <w:rPr>
            <w:rFonts w:eastAsia="Times New Roman"/>
            <w:color w:val="0000FF"/>
            <w:u w:val="single"/>
            <w:lang w:eastAsia="en-CA" w:bidi="he-IL"/>
          </w:rPr>
          <w:t>paulhimes</w:t>
        </w:r>
        <w:proofErr w:type="spellEnd"/>
      </w:hyperlink>
      <w:r w:rsidRPr="00305278">
        <w:rPr>
          <w:rFonts w:eastAsia="Times New Roman"/>
          <w:color w:val="auto"/>
          <w:lang w:eastAsia="en-CA" w:bidi="he-IL"/>
        </w:rPr>
        <w:t xml:space="preserve"> </w:t>
      </w:r>
      <w:hyperlink r:id="rId29" w:anchor="comments" w:history="1">
        <w:r w:rsidRPr="00305278">
          <w:rPr>
            <w:rFonts w:eastAsia="Times New Roman"/>
            <w:color w:val="0000FF"/>
            <w:u w:val="single"/>
            <w:lang w:eastAsia="en-CA" w:bidi="he-IL"/>
          </w:rPr>
          <w:t>15 Comments</w:t>
        </w:r>
      </w:hyperlink>
      <w:r w:rsidRPr="00305278">
        <w:rPr>
          <w:rFonts w:eastAsia="Times New Roman"/>
          <w:color w:val="auto"/>
          <w:lang w:eastAsia="en-CA" w:bidi="he-IL"/>
        </w:rPr>
        <w:t xml:space="preserve"> </w:t>
      </w:r>
    </w:p>
    <w:p w14:paraId="0F911F52"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noProof/>
          <w:color w:val="auto"/>
          <w:lang w:eastAsia="en-CA" w:bidi="he-IL"/>
        </w:rPr>
        <w:drawing>
          <wp:inline distT="0" distB="0" distL="0" distR="0" wp14:anchorId="76C78DC4" wp14:editId="6096878B">
            <wp:extent cx="8045450" cy="4961255"/>
            <wp:effectExtent l="0" t="0" r="0" b="0"/>
            <wp:docPr id="12" name="Picture 12" descr="https://academic.logos.com/files/2017/03/ff7fda60-f3de-45ef-b636-fd3e3c8757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cademic.logos.com/files/2017/03/ff7fda60-f3de-45ef-b636-fd3e3c87578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45450" cy="4961255"/>
                    </a:xfrm>
                    <a:prstGeom prst="rect">
                      <a:avLst/>
                    </a:prstGeom>
                    <a:noFill/>
                    <a:ln>
                      <a:noFill/>
                    </a:ln>
                  </pic:spPr>
                </pic:pic>
              </a:graphicData>
            </a:graphic>
          </wp:inline>
        </w:drawing>
      </w:r>
    </w:p>
    <w:p w14:paraId="4D6B36AC"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i/>
          <w:iCs/>
          <w:color w:val="auto"/>
          <w:lang w:eastAsia="en-CA" w:bidi="he-IL"/>
        </w:rPr>
        <w:t>This is the second of a two-part series on words and their meanings.</w:t>
      </w:r>
      <w:hyperlink r:id="rId31" w:anchor="easy-footnote-bottom-1" w:history="1">
        <w:r w:rsidRPr="00305278">
          <w:rPr>
            <w:rFonts w:eastAsia="Times New Roman"/>
            <w:i/>
            <w:iCs/>
            <w:color w:val="0000FF"/>
            <w:u w:val="single"/>
            <w:vertAlign w:val="superscript"/>
            <w:lang w:eastAsia="en-CA" w:bidi="he-IL"/>
          </w:rPr>
          <w:t>1</w:t>
        </w:r>
      </w:hyperlink>
      <w:r w:rsidRPr="00305278">
        <w:rPr>
          <w:rFonts w:eastAsia="Times New Roman"/>
          <w:i/>
          <w:iCs/>
          <w:color w:val="auto"/>
          <w:lang w:eastAsia="en-CA" w:bidi="he-IL"/>
        </w:rPr>
        <w:t xml:space="preserve"> </w:t>
      </w:r>
      <w:hyperlink r:id="rId32" w:history="1">
        <w:r w:rsidRPr="00305278">
          <w:rPr>
            <w:rFonts w:eastAsia="Times New Roman"/>
            <w:i/>
            <w:iCs/>
            <w:color w:val="0000FF"/>
            <w:u w:val="single"/>
            <w:lang w:eastAsia="en-CA" w:bidi="he-IL"/>
          </w:rPr>
          <w:t>Part 1</w:t>
        </w:r>
      </w:hyperlink>
      <w:r w:rsidRPr="00305278">
        <w:rPr>
          <w:rFonts w:eastAsia="Times New Roman"/>
          <w:i/>
          <w:iCs/>
          <w:color w:val="auto"/>
          <w:lang w:eastAsia="en-CA" w:bidi="he-IL"/>
        </w:rPr>
        <w:t> discussed the difference between “words” and “concepts.” In Part 2 we will examine the interaction of “context” (the words surrounding a particular word) with “semantic range” (the complete gamut of how a word is being used by the speakers of a particular language at a particular point in time).</w:t>
      </w:r>
    </w:p>
    <w:p w14:paraId="251D52EE" w14:textId="77777777" w:rsidR="00305278" w:rsidRPr="00305278" w:rsidRDefault="00305278" w:rsidP="00305278">
      <w:pPr>
        <w:spacing w:before="100" w:beforeAutospacing="1" w:after="100" w:afterAutospacing="1" w:line="240" w:lineRule="auto"/>
        <w:outlineLvl w:val="1"/>
        <w:rPr>
          <w:rFonts w:eastAsia="Times New Roman"/>
          <w:b/>
          <w:bCs/>
          <w:color w:val="auto"/>
          <w:sz w:val="36"/>
          <w:szCs w:val="36"/>
          <w:lang w:eastAsia="en-CA" w:bidi="he-IL"/>
        </w:rPr>
      </w:pPr>
      <w:r w:rsidRPr="00305278">
        <w:rPr>
          <w:rFonts w:eastAsia="Times New Roman"/>
          <w:b/>
          <w:bCs/>
          <w:color w:val="auto"/>
          <w:sz w:val="36"/>
          <w:szCs w:val="36"/>
          <w:lang w:eastAsia="en-CA" w:bidi="he-IL"/>
        </w:rPr>
        <w:t>Introduction</w:t>
      </w:r>
    </w:p>
    <w:p w14:paraId="71034442" w14:textId="77777777" w:rsidR="00305278" w:rsidRPr="00305278" w:rsidRDefault="00305278" w:rsidP="00305278">
      <w:pPr>
        <w:spacing w:beforeAutospacing="1" w:after="100" w:afterAutospacing="1" w:line="240" w:lineRule="auto"/>
        <w:rPr>
          <w:rFonts w:eastAsia="Times New Roman"/>
          <w:color w:val="auto"/>
          <w:lang w:eastAsia="en-CA" w:bidi="he-IL"/>
        </w:rPr>
      </w:pPr>
      <w:r w:rsidRPr="00305278">
        <w:rPr>
          <w:rFonts w:eastAsia="Times New Roman"/>
          <w:color w:val="auto"/>
          <w:lang w:eastAsia="en-CA" w:bidi="he-IL"/>
        </w:rPr>
        <w:t>“</w:t>
      </w:r>
      <w:r w:rsidRPr="00305278">
        <w:rPr>
          <w:rFonts w:eastAsia="Times New Roman"/>
          <w:i/>
          <w:iCs/>
          <w:color w:val="auto"/>
          <w:lang w:eastAsia="en-CA" w:bidi="he-IL"/>
        </w:rPr>
        <w:t>When I use a word</w:t>
      </w:r>
      <w:r w:rsidRPr="00305278">
        <w:rPr>
          <w:rFonts w:eastAsia="Times New Roman"/>
          <w:color w:val="auto"/>
          <w:lang w:eastAsia="en-CA" w:bidi="he-IL"/>
        </w:rPr>
        <w:t xml:space="preserve">,” </w:t>
      </w:r>
      <w:proofErr w:type="spellStart"/>
      <w:r w:rsidRPr="00305278">
        <w:rPr>
          <w:rFonts w:eastAsia="Times New Roman"/>
          <w:color w:val="auto"/>
          <w:lang w:eastAsia="en-CA" w:bidi="he-IL"/>
        </w:rPr>
        <w:t>Humpty</w:t>
      </w:r>
      <w:proofErr w:type="spellEnd"/>
      <w:r w:rsidRPr="00305278">
        <w:rPr>
          <w:rFonts w:eastAsia="Times New Roman"/>
          <w:color w:val="auto"/>
          <w:lang w:eastAsia="en-CA" w:bidi="he-IL"/>
        </w:rPr>
        <w:t xml:space="preserve"> Dumpty said, in a rather scornful tone, “it means just what I chose it to mean—neither more nor less.” “The question is,” said Alice, “whether you </w:t>
      </w:r>
      <w:r w:rsidRPr="00305278">
        <w:rPr>
          <w:rFonts w:eastAsia="Times New Roman"/>
          <w:i/>
          <w:iCs/>
          <w:color w:val="auto"/>
          <w:lang w:eastAsia="en-CA" w:bidi="he-IL"/>
        </w:rPr>
        <w:t>can</w:t>
      </w:r>
      <w:r w:rsidRPr="00305278">
        <w:rPr>
          <w:rFonts w:eastAsia="Times New Roman"/>
          <w:color w:val="auto"/>
          <w:lang w:eastAsia="en-CA" w:bidi="he-IL"/>
        </w:rPr>
        <w:t xml:space="preserve"> make words mean so many different things.” “The question is,” said </w:t>
      </w:r>
      <w:proofErr w:type="spellStart"/>
      <w:r w:rsidRPr="00305278">
        <w:rPr>
          <w:rFonts w:eastAsia="Times New Roman"/>
          <w:color w:val="auto"/>
          <w:lang w:eastAsia="en-CA" w:bidi="he-IL"/>
        </w:rPr>
        <w:t>Humpty</w:t>
      </w:r>
      <w:proofErr w:type="spellEnd"/>
      <w:r w:rsidRPr="00305278">
        <w:rPr>
          <w:rFonts w:eastAsia="Times New Roman"/>
          <w:color w:val="auto"/>
          <w:lang w:eastAsia="en-CA" w:bidi="he-IL"/>
        </w:rPr>
        <w:t xml:space="preserve"> Dumpty, “which is to be master—that’s all.”</w:t>
      </w:r>
      <w:hyperlink r:id="rId33" w:anchor="easy-footnote-bottom-2" w:history="1">
        <w:r w:rsidRPr="00305278">
          <w:rPr>
            <w:rFonts w:eastAsia="Times New Roman"/>
            <w:color w:val="0000FF"/>
            <w:u w:val="single"/>
            <w:vertAlign w:val="superscript"/>
            <w:lang w:eastAsia="en-CA" w:bidi="he-IL"/>
          </w:rPr>
          <w:t>2</w:t>
        </w:r>
      </w:hyperlink>
    </w:p>
    <w:p w14:paraId="255E82FA"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“Context is king” runs the common mantra in biblical studies, and to a certain degree this is true. Yet the “king” cannot rule without some sort of legitimization from the people, and that’s where “semantic range” comes in. If “context is king,” then “semantic range is parliament,” for semantic range represents the will of the people.</w:t>
      </w:r>
    </w:p>
    <w:p w14:paraId="35D372FC"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In other words, language is a </w:t>
      </w:r>
      <w:r w:rsidRPr="00305278">
        <w:rPr>
          <w:rFonts w:eastAsia="Times New Roman"/>
          <w:i/>
          <w:iCs/>
          <w:color w:val="auto"/>
          <w:lang w:eastAsia="en-CA" w:bidi="he-IL"/>
        </w:rPr>
        <w:t>social</w:t>
      </w:r>
      <w:r w:rsidRPr="00305278">
        <w:rPr>
          <w:rFonts w:eastAsia="Times New Roman"/>
          <w:color w:val="auto"/>
          <w:lang w:eastAsia="en-CA" w:bidi="he-IL"/>
        </w:rPr>
        <w:t xml:space="preserve"> construct.</w:t>
      </w:r>
      <w:hyperlink r:id="rId34" w:anchor="easy-footnote-bottom-3" w:history="1">
        <w:r w:rsidRPr="00305278">
          <w:rPr>
            <w:rFonts w:eastAsia="Times New Roman"/>
            <w:color w:val="0000FF"/>
            <w:u w:val="single"/>
            <w:vertAlign w:val="superscript"/>
            <w:lang w:eastAsia="en-CA" w:bidi="he-IL"/>
          </w:rPr>
          <w:t>3</w:t>
        </w:r>
      </w:hyperlink>
    </w:p>
    <w:p w14:paraId="0BEEEFF0"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Consequently, without denying the existence of idiolect,</w:t>
      </w:r>
      <w:hyperlink r:id="rId35" w:anchor="easy-footnote-bottom-4" w:history="1">
        <w:r w:rsidRPr="00305278">
          <w:rPr>
            <w:rFonts w:eastAsia="Times New Roman"/>
            <w:color w:val="0000FF"/>
            <w:u w:val="single"/>
            <w:vertAlign w:val="superscript"/>
            <w:lang w:eastAsia="en-CA" w:bidi="he-IL"/>
          </w:rPr>
          <w:t>4</w:t>
        </w:r>
      </w:hyperlink>
      <w:r w:rsidRPr="00305278">
        <w:rPr>
          <w:rFonts w:eastAsia="Times New Roman"/>
          <w:color w:val="auto"/>
          <w:lang w:eastAsia="en-CA" w:bidi="he-IL"/>
        </w:rPr>
        <w:t xml:space="preserve"> anybody who wishes to communicate must make sure that how they use a word has at least </w:t>
      </w:r>
      <w:r w:rsidRPr="00305278">
        <w:rPr>
          <w:rFonts w:eastAsia="Times New Roman"/>
          <w:i/>
          <w:iCs/>
          <w:color w:val="auto"/>
          <w:lang w:eastAsia="en-CA" w:bidi="he-IL"/>
        </w:rPr>
        <w:t>some</w:t>
      </w:r>
      <w:r w:rsidRPr="00305278">
        <w:rPr>
          <w:rFonts w:eastAsia="Times New Roman"/>
          <w:color w:val="auto"/>
          <w:lang w:eastAsia="en-CA" w:bidi="he-IL"/>
        </w:rPr>
        <w:t xml:space="preserve"> overlap with how their dialogue partner uses it.</w:t>
      </w:r>
    </w:p>
    <w:p w14:paraId="68777B1D" w14:textId="77777777" w:rsidR="00305278" w:rsidRPr="00305278" w:rsidRDefault="00305278" w:rsidP="00305278">
      <w:pPr>
        <w:spacing w:before="100" w:beforeAutospacing="1" w:after="100" w:afterAutospacing="1" w:line="240" w:lineRule="auto"/>
        <w:outlineLvl w:val="1"/>
        <w:rPr>
          <w:rFonts w:eastAsia="Times New Roman"/>
          <w:b/>
          <w:bCs/>
          <w:color w:val="auto"/>
          <w:sz w:val="36"/>
          <w:szCs w:val="36"/>
          <w:lang w:eastAsia="en-CA" w:bidi="he-IL"/>
        </w:rPr>
      </w:pPr>
      <w:r w:rsidRPr="00305278">
        <w:rPr>
          <w:rFonts w:eastAsia="Times New Roman"/>
          <w:b/>
          <w:bCs/>
          <w:color w:val="auto"/>
          <w:sz w:val="36"/>
          <w:szCs w:val="36"/>
          <w:lang w:eastAsia="en-CA" w:bidi="he-IL"/>
        </w:rPr>
        <w:t>Individual Lexicons</w:t>
      </w:r>
    </w:p>
    <w:p w14:paraId="4ABAF8D4"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I will illustrate this with two examples from the adventures of a former missionary to Japan (one quite talented in language!) who is very dear to me (and granted permission for these stories to be posted).</w:t>
      </w:r>
    </w:p>
    <w:p w14:paraId="01E8A912"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In the first example, this missionary was preaching on Jesus’ statement “I am the Light of the world.” To illustrate, he spoke of spelunking during his college days, noting how dark it was in a cave without a light, how easy it was to get lost in a cave (even when he and his friends had a map), etc.</w:t>
      </w:r>
    </w:p>
    <w:p w14:paraId="55AAD907"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Confused expressions greeted him, for rather than using the word </w:t>
      </w:r>
      <w:r w:rsidRPr="00305278">
        <w:rPr>
          <w:rFonts w:eastAsia="Times New Roman"/>
          <w:i/>
          <w:iCs/>
          <w:color w:val="auto"/>
          <w:lang w:eastAsia="en-CA" w:bidi="he-IL"/>
        </w:rPr>
        <w:t>hora-ana</w:t>
      </w:r>
      <w:r w:rsidRPr="00305278">
        <w:rPr>
          <w:rFonts w:eastAsia="Times New Roman"/>
          <w:color w:val="auto"/>
          <w:lang w:eastAsia="en-CA" w:bidi="he-IL"/>
        </w:rPr>
        <w:t xml:space="preserve"> (“cave”), he accidentally used the word </w:t>
      </w:r>
      <w:r w:rsidRPr="00305278">
        <w:rPr>
          <w:rFonts w:eastAsia="Times New Roman"/>
          <w:i/>
          <w:iCs/>
          <w:color w:val="auto"/>
          <w:lang w:eastAsia="en-CA" w:bidi="he-IL"/>
        </w:rPr>
        <w:t>ana-</w:t>
      </w:r>
      <w:proofErr w:type="spellStart"/>
      <w:r w:rsidRPr="00305278">
        <w:rPr>
          <w:rFonts w:eastAsia="Times New Roman"/>
          <w:i/>
          <w:iCs/>
          <w:color w:val="auto"/>
          <w:lang w:eastAsia="en-CA" w:bidi="he-IL"/>
        </w:rPr>
        <w:t>guma</w:t>
      </w:r>
      <w:proofErr w:type="spellEnd"/>
      <w:r w:rsidRPr="00305278">
        <w:rPr>
          <w:rFonts w:eastAsia="Times New Roman"/>
          <w:color w:val="auto"/>
          <w:lang w:eastAsia="en-CA" w:bidi="he-IL"/>
        </w:rPr>
        <w:t xml:space="preserve"> (“badger), thus regaling a dazed audience with tales of how, in his college days, he would get lost exploring the insides of a badger, despite having a map of the insides of the badger, etc. Obviously context was not enough to prevent miscommunication.</w:t>
      </w:r>
    </w:p>
    <w:p w14:paraId="1654B1F2"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noProof/>
          <w:color w:val="auto"/>
          <w:lang w:eastAsia="en-CA" w:bidi="he-IL"/>
        </w:rPr>
        <w:drawing>
          <wp:inline distT="0" distB="0" distL="0" distR="0" wp14:anchorId="09DADC8E" wp14:editId="2C4BED22">
            <wp:extent cx="9758045" cy="6475730"/>
            <wp:effectExtent l="0" t="0" r="0" b="1270"/>
            <wp:docPr id="11" name="Picture 11" descr="https://academic.logos.com/files/2017/03/Germany-Caving-1024x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cademic.logos.com/files/2017/03/Germany-Caving-1024x68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58045" cy="6475730"/>
                    </a:xfrm>
                    <a:prstGeom prst="rect">
                      <a:avLst/>
                    </a:prstGeom>
                    <a:noFill/>
                    <a:ln>
                      <a:noFill/>
                    </a:ln>
                  </pic:spPr>
                </pic:pic>
              </a:graphicData>
            </a:graphic>
          </wp:inline>
        </w:drawing>
      </w:r>
    </w:p>
    <w:p w14:paraId="4A3B5792"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In the second example, the missionary had both context and etymology on his side, but to no avail. Attempting one day to witness to a lady, who had a young boy with her, the missionary endeavored to make friends with the young boy, who was clearly scared of the foreigner. Gesturing at the young boy, the missionary attempted to say, “He seems not to like me” by combining the word for “dislike” (</w:t>
      </w:r>
      <w:r w:rsidRPr="00305278">
        <w:rPr>
          <w:rFonts w:eastAsia="Times New Roman"/>
          <w:i/>
          <w:iCs/>
          <w:color w:val="auto"/>
          <w:lang w:eastAsia="en-CA" w:bidi="he-IL"/>
        </w:rPr>
        <w:t>ya</w:t>
      </w:r>
      <w:r w:rsidRPr="00305278">
        <w:rPr>
          <w:rFonts w:eastAsia="Times New Roman"/>
          <w:color w:val="auto"/>
          <w:lang w:eastAsia="en-CA" w:bidi="he-IL"/>
        </w:rPr>
        <w:t>) with the adjective for “seems to be” (</w:t>
      </w:r>
      <w:proofErr w:type="spellStart"/>
      <w:r w:rsidRPr="00305278">
        <w:rPr>
          <w:rFonts w:eastAsia="Times New Roman"/>
          <w:i/>
          <w:iCs/>
          <w:color w:val="auto"/>
          <w:lang w:eastAsia="en-CA" w:bidi="he-IL"/>
        </w:rPr>
        <w:t>ra-shii</w:t>
      </w:r>
      <w:proofErr w:type="spellEnd"/>
      <w:r w:rsidRPr="00305278">
        <w:rPr>
          <w:rFonts w:eastAsia="Times New Roman"/>
          <w:color w:val="auto"/>
          <w:lang w:eastAsia="en-CA" w:bidi="he-IL"/>
        </w:rPr>
        <w:t>).</w:t>
      </w:r>
    </w:p>
    <w:p w14:paraId="619B60E4"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Unfortunately, when combined in such a manner vocally, the resulting word was radically different and did not possess “seems to dislike” as part of its semantic range. What the missionary said to the horrified lady was, “He seems to be morally repugnant.” The lady stalked away in shock, much to the missionary’s confusion.</w:t>
      </w:r>
    </w:p>
    <w:p w14:paraId="20E0F767" w14:textId="77777777" w:rsidR="00305278" w:rsidRPr="00305278" w:rsidRDefault="00305278" w:rsidP="00305278">
      <w:pPr>
        <w:spacing w:before="100" w:beforeAutospacing="1" w:after="100" w:afterAutospacing="1" w:line="240" w:lineRule="auto"/>
        <w:outlineLvl w:val="1"/>
        <w:rPr>
          <w:rFonts w:eastAsia="Times New Roman"/>
          <w:b/>
          <w:bCs/>
          <w:color w:val="auto"/>
          <w:sz w:val="36"/>
          <w:szCs w:val="36"/>
          <w:lang w:eastAsia="en-CA" w:bidi="he-IL"/>
        </w:rPr>
      </w:pPr>
      <w:r w:rsidRPr="00305278">
        <w:rPr>
          <w:rFonts w:eastAsia="Times New Roman"/>
          <w:b/>
          <w:bCs/>
          <w:color w:val="auto"/>
          <w:sz w:val="36"/>
          <w:szCs w:val="36"/>
          <w:lang w:eastAsia="en-CA" w:bidi="he-IL"/>
        </w:rPr>
        <w:t>What of Context?</w:t>
      </w:r>
    </w:p>
    <w:p w14:paraId="717FE575"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In other words, </w:t>
      </w:r>
      <w:r w:rsidRPr="00305278">
        <w:rPr>
          <w:rFonts w:eastAsia="Times New Roman"/>
          <w:i/>
          <w:iCs/>
          <w:color w:val="auto"/>
          <w:lang w:eastAsia="en-CA" w:bidi="he-IL"/>
        </w:rPr>
        <w:t>context is not enough</w:t>
      </w:r>
      <w:r w:rsidRPr="00305278">
        <w:rPr>
          <w:rFonts w:eastAsia="Times New Roman"/>
          <w:color w:val="auto"/>
          <w:lang w:eastAsia="en-CA" w:bidi="he-IL"/>
        </w:rPr>
        <w:t xml:space="preserve"> to facilitate clear communication, if in fact a word is not being used in accordance with how others use it. The assertion that “Context is King,” then, is </w:t>
      </w:r>
      <w:r w:rsidRPr="00305278">
        <w:rPr>
          <w:rFonts w:eastAsia="Times New Roman"/>
          <w:i/>
          <w:iCs/>
          <w:color w:val="auto"/>
          <w:lang w:eastAsia="en-CA" w:bidi="he-IL"/>
        </w:rPr>
        <w:t>in and of itself</w:t>
      </w:r>
      <w:r w:rsidRPr="00305278">
        <w:rPr>
          <w:rFonts w:eastAsia="Times New Roman"/>
          <w:color w:val="auto"/>
          <w:lang w:eastAsia="en-CA" w:bidi="he-IL"/>
        </w:rPr>
        <w:t xml:space="preserve"> insufficient. As E. D. Hirsch states,</w:t>
      </w:r>
    </w:p>
    <w:p w14:paraId="5292BECD" w14:textId="77777777" w:rsidR="00305278" w:rsidRPr="00305278" w:rsidRDefault="00305278" w:rsidP="00305278">
      <w:pPr>
        <w:spacing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It is sometimes said that ‘meaning is determined by context,’ but this is a very loose way of speaking. It is true that the surrounding text or the situation in which a problematical word sequence is found tends to narrow the meaning probabilities for that particular word sequence; otherwise, interpretation would be hopeless. And it is a measure of stylistic excellence in an author that he should have managed to formulate a decisive context for any particular word sequence within his text. But this is certainly not to say that context determines verbal meaning. At best a context determines the guess of an interpreter (though his construction of the context may be wrong, and his guess correspondingly so). To speak of context as a determinant is to confuse an exigency of interpretation with an author’s determining acts. </w:t>
      </w:r>
      <w:r w:rsidRPr="00305278">
        <w:rPr>
          <w:rFonts w:eastAsia="Times New Roman"/>
          <w:i/>
          <w:iCs/>
          <w:color w:val="auto"/>
          <w:lang w:eastAsia="en-CA" w:bidi="he-IL"/>
        </w:rPr>
        <w:t>An author’s verbal meaning is limited by linguistic possibilities but is determined by his actualizing and specifying some of those possibilities</w:t>
      </w:r>
      <w:r w:rsidRPr="00305278">
        <w:rPr>
          <w:rFonts w:eastAsia="Times New Roman"/>
          <w:color w:val="auto"/>
          <w:lang w:eastAsia="en-CA" w:bidi="he-IL"/>
        </w:rPr>
        <w:t>.</w:t>
      </w:r>
      <w:hyperlink r:id="rId37" w:anchor="easy-footnote-bottom-5" w:history="1">
        <w:r w:rsidRPr="00305278">
          <w:rPr>
            <w:rFonts w:eastAsia="Times New Roman"/>
            <w:color w:val="0000FF"/>
            <w:u w:val="single"/>
            <w:vertAlign w:val="superscript"/>
            <w:lang w:eastAsia="en-CA" w:bidi="he-IL"/>
          </w:rPr>
          <w:t>5</w:t>
        </w:r>
      </w:hyperlink>
    </w:p>
    <w:p w14:paraId="62AE9DB4"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From a slightly different perspective, </w:t>
      </w:r>
      <w:hyperlink r:id="rId38" w:history="1">
        <w:r w:rsidRPr="00305278">
          <w:rPr>
            <w:rFonts w:eastAsia="Times New Roman"/>
            <w:color w:val="0000FF"/>
            <w:u w:val="single"/>
            <w:lang w:eastAsia="en-CA" w:bidi="he-IL"/>
          </w:rPr>
          <w:t>NT scholar Daniel Wallace</w:t>
        </w:r>
      </w:hyperlink>
      <w:r w:rsidRPr="00305278">
        <w:rPr>
          <w:rFonts w:eastAsia="Times New Roman"/>
          <w:color w:val="auto"/>
          <w:lang w:eastAsia="en-CA" w:bidi="he-IL"/>
        </w:rPr>
        <w:t xml:space="preserve"> aptly states, “Often linguists say that the word being examined should have the meaning of ‘X’ with ‘X’ being only what one can determine from the context. But this is an unreasonable demand on any word. If </w:t>
      </w:r>
      <w:r w:rsidRPr="00305278">
        <w:rPr>
          <w:rFonts w:eastAsia="Times New Roman"/>
          <w:i/>
          <w:iCs/>
          <w:color w:val="auto"/>
          <w:lang w:eastAsia="en-CA" w:bidi="he-IL"/>
        </w:rPr>
        <w:t>every word</w:t>
      </w:r>
      <w:r w:rsidRPr="00305278">
        <w:rPr>
          <w:rFonts w:eastAsia="Times New Roman"/>
          <w:color w:val="auto"/>
          <w:lang w:eastAsia="en-CA" w:bidi="he-IL"/>
        </w:rPr>
        <w:t xml:space="preserve"> in a given utterance had the meaning ‘X’ then we simply could not figure out what any utterance ever meant.”</w:t>
      </w:r>
      <w:hyperlink r:id="rId39" w:anchor="easy-footnote-bottom-6" w:history="1">
        <w:r w:rsidRPr="00305278">
          <w:rPr>
            <w:rFonts w:eastAsia="Times New Roman"/>
            <w:color w:val="0000FF"/>
            <w:u w:val="single"/>
            <w:vertAlign w:val="superscript"/>
            <w:lang w:eastAsia="en-CA" w:bidi="he-IL"/>
          </w:rPr>
          <w:t>6</w:t>
        </w:r>
      </w:hyperlink>
    </w:p>
    <w:p w14:paraId="5FE4FD6C"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When we examine a sentence, then, each word is not a blank slate, “x,” to be filled with whatever context demands of it. Rather, each word has, at that moment of time, a number of concepts that it can point to </w:t>
      </w:r>
      <w:r w:rsidRPr="00305278">
        <w:rPr>
          <w:rFonts w:eastAsia="Times New Roman"/>
          <w:i/>
          <w:iCs/>
          <w:color w:val="auto"/>
          <w:lang w:eastAsia="en-CA" w:bidi="he-IL"/>
        </w:rPr>
        <w:t>based on how people are, at that moment, using the word</w:t>
      </w:r>
      <w:r w:rsidRPr="00305278">
        <w:rPr>
          <w:rFonts w:eastAsia="Times New Roman"/>
          <w:color w:val="auto"/>
          <w:lang w:eastAsia="en-CA" w:bidi="he-IL"/>
        </w:rPr>
        <w:t>. Furthermore, the concepts the word reflects, as well as the very form of the word, may change over time. This is why etymology should not be relied on except in rare circumstances.</w:t>
      </w:r>
    </w:p>
    <w:p w14:paraId="6EDAFBD0" w14:textId="77777777" w:rsid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noProof/>
          <w:color w:val="0000FF"/>
          <w:lang w:eastAsia="en-CA" w:bidi="he-IL"/>
        </w:rPr>
        <w:drawing>
          <wp:inline distT="0" distB="0" distL="0" distR="0" wp14:anchorId="77D4F802" wp14:editId="403B4995">
            <wp:extent cx="2040255" cy="3193415"/>
            <wp:effectExtent l="0" t="0" r="0" b="6985"/>
            <wp:docPr id="10" name="Picture 10" descr="https://academic.logos.com/files/2017/03/4278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cademic.logos.com/files/2017/03/42780.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0255" cy="3193415"/>
                    </a:xfrm>
                    <a:prstGeom prst="rect">
                      <a:avLst/>
                    </a:prstGeom>
                    <a:noFill/>
                    <a:ln>
                      <a:noFill/>
                    </a:ln>
                  </pic:spPr>
                </pic:pic>
              </a:graphicData>
            </a:graphic>
          </wp:inline>
        </w:drawing>
      </w:r>
    </w:p>
    <w:p w14:paraId="61FB43C3"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Consequently, communication can only occur when substantial overlap exists between how one person uses a word and how another person uses a word. Context will delineate which of the possible meanings is the correct one.</w:t>
      </w:r>
      <w:hyperlink r:id="rId42" w:anchor="easy-footnote-bottom-7" w:history="1">
        <w:r w:rsidRPr="00305278">
          <w:rPr>
            <w:rFonts w:eastAsia="Times New Roman"/>
            <w:color w:val="0000FF"/>
            <w:u w:val="single"/>
            <w:vertAlign w:val="superscript"/>
            <w:lang w:eastAsia="en-CA" w:bidi="he-IL"/>
          </w:rPr>
          <w:t>7</w:t>
        </w:r>
      </w:hyperlink>
      <w:r w:rsidRPr="00305278">
        <w:rPr>
          <w:rFonts w:eastAsia="Times New Roman"/>
          <w:color w:val="auto"/>
          <w:lang w:eastAsia="en-CA" w:bidi="he-IL"/>
        </w:rPr>
        <w:t xml:space="preserve"> Yet if neither of them are drawing from the possible meanings of the semantic range reflected in that language (or at least that particular dialect), miscommunication occurs.</w:t>
      </w:r>
    </w:p>
    <w:p w14:paraId="7F636A93"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w:t>
      </w:r>
    </w:p>
    <w:p w14:paraId="23FC8855" w14:textId="77777777" w:rsidR="00305278" w:rsidRPr="00305278" w:rsidRDefault="00305278" w:rsidP="00305278">
      <w:pPr>
        <w:spacing w:before="100" w:beforeAutospacing="1" w:after="100" w:afterAutospacing="1" w:line="240" w:lineRule="auto"/>
        <w:outlineLvl w:val="1"/>
        <w:rPr>
          <w:rFonts w:eastAsia="Times New Roman"/>
          <w:b/>
          <w:bCs/>
          <w:color w:val="auto"/>
          <w:sz w:val="36"/>
          <w:szCs w:val="36"/>
          <w:lang w:eastAsia="en-CA" w:bidi="he-IL"/>
        </w:rPr>
      </w:pPr>
      <w:r w:rsidRPr="00305278">
        <w:rPr>
          <w:rFonts w:eastAsia="Times New Roman"/>
          <w:b/>
          <w:bCs/>
          <w:color w:val="auto"/>
          <w:sz w:val="36"/>
          <w:szCs w:val="36"/>
          <w:lang w:eastAsia="en-CA" w:bidi="he-IL"/>
        </w:rPr>
        <w:t>Enter Semantic Range</w:t>
      </w:r>
    </w:p>
    <w:p w14:paraId="2A06F32E"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Consider the following sentence: “Little Jimmy has been getting quite good at the violin. Do you want to come see him play in tomorrow night’s performance?” Now, the average speaker of English will be fully aware that “play” has multiple meanings, but can there be any doubt what the word means in this context? The word “violin” and the expression “tomorrow night’s performance” both make it clear that Little Jimmy is not throwing a football or sitting down to a friendly game of monopoly.</w:t>
      </w:r>
    </w:p>
    <w:p w14:paraId="67ABFE6E"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Yet, on the other hand, what would happen if in the above sentence the speaker replaced the word “play” with “belch”? The listener would most likely be confused and ask for clarification (or flee away in horror), simply because the word “belch” is not a word associated with the structured performance of musical instruments (at least not in the kind of concerts I’m familiar with!). We cannot force the word “belch” to mean what people usually mean by “play.” Despite what </w:t>
      </w:r>
      <w:proofErr w:type="spellStart"/>
      <w:r w:rsidRPr="00305278">
        <w:rPr>
          <w:rFonts w:eastAsia="Times New Roman"/>
          <w:color w:val="auto"/>
          <w:lang w:eastAsia="en-CA" w:bidi="he-IL"/>
        </w:rPr>
        <w:t>Humpty</w:t>
      </w:r>
      <w:proofErr w:type="spellEnd"/>
      <w:r w:rsidRPr="00305278">
        <w:rPr>
          <w:rFonts w:eastAsia="Times New Roman"/>
          <w:color w:val="auto"/>
          <w:lang w:eastAsia="en-CA" w:bidi="he-IL"/>
        </w:rPr>
        <w:t xml:space="preserve"> Dumpty claimed, it is the masses, not the individual, that determines the meanings of words.</w:t>
      </w:r>
    </w:p>
    <w:p w14:paraId="4C4CB02E"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In other words, when we have conversations with other people, we usually try to use words in such a way that they will understand. Exceptions do exist, especially in poetry, and since words do change meaning it is clear that somebody, somewhere, had to try something new; language is not static. For a fascinating discussion of this very point, see Peter J. </w:t>
      </w:r>
      <w:proofErr w:type="spellStart"/>
      <w:r w:rsidRPr="00305278">
        <w:rPr>
          <w:rFonts w:eastAsia="Times New Roman"/>
          <w:color w:val="auto"/>
          <w:lang w:eastAsia="en-CA" w:bidi="he-IL"/>
        </w:rPr>
        <w:t>Leithart’s</w:t>
      </w:r>
      <w:proofErr w:type="spellEnd"/>
      <w:r w:rsidRPr="00305278">
        <w:rPr>
          <w:rFonts w:eastAsia="Times New Roman"/>
          <w:color w:val="auto"/>
          <w:lang w:eastAsia="en-CA" w:bidi="he-IL"/>
        </w:rPr>
        <w:t xml:space="preserve"> book, </w:t>
      </w:r>
      <w:hyperlink r:id="rId43" w:history="1">
        <w:r w:rsidRPr="00305278">
          <w:rPr>
            <w:rFonts w:eastAsia="Times New Roman"/>
            <w:i/>
            <w:iCs/>
            <w:color w:val="0000FF"/>
            <w:u w:val="single"/>
            <w:lang w:eastAsia="en-CA" w:bidi="he-IL"/>
          </w:rPr>
          <w:t>Deep Exegesis: The Mystery of Reading Scripture</w:t>
        </w:r>
      </w:hyperlink>
      <w:r w:rsidRPr="00305278">
        <w:rPr>
          <w:rFonts w:eastAsia="Times New Roman"/>
          <w:i/>
          <w:iCs/>
          <w:color w:val="auto"/>
          <w:lang w:eastAsia="en-CA" w:bidi="he-IL"/>
        </w:rPr>
        <w:t>.</w:t>
      </w:r>
      <w:hyperlink r:id="rId44" w:anchor="easy-footnote-bottom-8" w:history="1">
        <w:r w:rsidRPr="00305278">
          <w:rPr>
            <w:rFonts w:eastAsia="Times New Roman"/>
            <w:color w:val="0000FF"/>
            <w:u w:val="single"/>
            <w:vertAlign w:val="superscript"/>
            <w:lang w:eastAsia="en-CA" w:bidi="he-IL"/>
          </w:rPr>
          <w:t>8</w:t>
        </w:r>
      </w:hyperlink>
    </w:p>
    <w:p w14:paraId="350FB5F8"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noProof/>
          <w:color w:val="0000FF"/>
          <w:lang w:eastAsia="en-CA" w:bidi="he-IL"/>
        </w:rPr>
        <w:drawing>
          <wp:inline distT="0" distB="0" distL="0" distR="0" wp14:anchorId="3D829F56" wp14:editId="572787A6">
            <wp:extent cx="1760855" cy="2647950"/>
            <wp:effectExtent l="0" t="0" r="0" b="0"/>
            <wp:docPr id="9" name="Picture 9" descr="https://academic.logos.com/files/2017/03/30089.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cademic.logos.com/files/2017/03/30089.jpg">
                      <a:hlinkClick r:id="rId43"/>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60855" cy="2647950"/>
                    </a:xfrm>
                    <a:prstGeom prst="rect">
                      <a:avLst/>
                    </a:prstGeom>
                    <a:noFill/>
                    <a:ln>
                      <a:noFill/>
                    </a:ln>
                  </pic:spPr>
                </pic:pic>
              </a:graphicData>
            </a:graphic>
          </wp:inline>
        </w:drawing>
      </w:r>
    </w:p>
    <w:p w14:paraId="36C4BC18" w14:textId="77777777" w:rsid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Nonetheless, radical semantic change is slow and not easily detectable within small periods of time—we </w:t>
      </w:r>
      <w:r w:rsidRPr="00305278">
        <w:rPr>
          <w:rFonts w:eastAsia="Times New Roman"/>
          <w:i/>
          <w:iCs/>
          <w:color w:val="auto"/>
          <w:lang w:eastAsia="en-CA" w:bidi="he-IL"/>
        </w:rPr>
        <w:t>usually</w:t>
      </w:r>
      <w:r w:rsidRPr="00305278">
        <w:rPr>
          <w:rFonts w:eastAsia="Times New Roman"/>
          <w:color w:val="auto"/>
          <w:lang w:eastAsia="en-CA" w:bidi="he-IL"/>
        </w:rPr>
        <w:t xml:space="preserve"> do not wake up one morning to realize that “professor” has suddenly become slang for “communist infiltrator.”</w:t>
      </w:r>
    </w:p>
    <w:p w14:paraId="3470A5C2" w14:textId="77777777" w:rsidR="001B1067" w:rsidRDefault="001B1067" w:rsidP="00305278">
      <w:pPr>
        <w:spacing w:before="100" w:beforeAutospacing="1" w:after="100" w:afterAutospacing="1" w:line="240" w:lineRule="auto"/>
        <w:rPr>
          <w:rFonts w:eastAsia="Times New Roman"/>
          <w:color w:val="auto"/>
          <w:lang w:eastAsia="en-CA" w:bidi="he-IL"/>
        </w:rPr>
      </w:pPr>
    </w:p>
    <w:p w14:paraId="6093D06D" w14:textId="77777777" w:rsidR="001B1067" w:rsidRPr="00305278" w:rsidRDefault="001B1067" w:rsidP="00305278">
      <w:pPr>
        <w:spacing w:before="100" w:beforeAutospacing="1" w:after="100" w:afterAutospacing="1" w:line="240" w:lineRule="auto"/>
        <w:rPr>
          <w:rFonts w:eastAsia="Times New Roman"/>
          <w:color w:val="auto"/>
          <w:lang w:eastAsia="en-CA" w:bidi="he-IL"/>
        </w:rPr>
      </w:pPr>
    </w:p>
    <w:p w14:paraId="21AFD458" w14:textId="77777777" w:rsidR="00305278" w:rsidRPr="00305278" w:rsidRDefault="00305278" w:rsidP="00305278">
      <w:pPr>
        <w:spacing w:before="100" w:beforeAutospacing="1" w:after="100" w:afterAutospacing="1" w:line="240" w:lineRule="auto"/>
        <w:outlineLvl w:val="1"/>
        <w:rPr>
          <w:rFonts w:eastAsia="Times New Roman"/>
          <w:b/>
          <w:bCs/>
          <w:color w:val="auto"/>
          <w:sz w:val="36"/>
          <w:szCs w:val="36"/>
          <w:lang w:eastAsia="en-CA" w:bidi="he-IL"/>
        </w:rPr>
      </w:pPr>
      <w:r w:rsidRPr="00305278">
        <w:rPr>
          <w:rFonts w:eastAsia="Times New Roman"/>
          <w:b/>
          <w:bCs/>
          <w:color w:val="auto"/>
          <w:sz w:val="36"/>
          <w:szCs w:val="36"/>
          <w:lang w:eastAsia="en-CA" w:bidi="he-IL"/>
        </w:rPr>
        <w:t>Bible Study and Semantic Range</w:t>
      </w:r>
    </w:p>
    <w:p w14:paraId="7171F946"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So how does this practically affect our study of words in the Bible? First of all, serious study should not overly rely on lexicons at the expense of the literature of </w:t>
      </w:r>
      <w:proofErr w:type="spellStart"/>
      <w:r w:rsidRPr="00305278">
        <w:rPr>
          <w:rFonts w:eastAsia="Times New Roman"/>
          <w:i/>
          <w:iCs/>
          <w:color w:val="auto"/>
          <w:lang w:eastAsia="en-CA" w:bidi="he-IL"/>
        </w:rPr>
        <w:t>Koine</w:t>
      </w:r>
      <w:proofErr w:type="spellEnd"/>
      <w:r w:rsidRPr="00305278">
        <w:rPr>
          <w:rFonts w:eastAsia="Times New Roman"/>
          <w:color w:val="auto"/>
          <w:lang w:eastAsia="en-CA" w:bidi="he-IL"/>
        </w:rPr>
        <w:t xml:space="preserve"> Greek. As John A. L. Lee has convincingly demonstrated, too often lexicons do not conduct original research but merely repackage the work of those that have gone before.</w:t>
      </w:r>
      <w:hyperlink r:id="rId46" w:anchor="easy-footnote-bottom-9" w:history="1">
        <w:r w:rsidRPr="00305278">
          <w:rPr>
            <w:rFonts w:eastAsia="Times New Roman"/>
            <w:color w:val="0000FF"/>
            <w:u w:val="single"/>
            <w:vertAlign w:val="superscript"/>
            <w:lang w:eastAsia="en-CA" w:bidi="he-IL"/>
          </w:rPr>
          <w:t>9</w:t>
        </w:r>
      </w:hyperlink>
      <w:r w:rsidRPr="00305278">
        <w:rPr>
          <w:rFonts w:eastAsia="Times New Roman"/>
          <w:color w:val="auto"/>
          <w:lang w:eastAsia="en-CA" w:bidi="he-IL"/>
        </w:rPr>
        <w:t xml:space="preserve"> Obviously lexicons are helpful tools; my point is that they are not infallible.</w:t>
      </w:r>
    </w:p>
    <w:p w14:paraId="3C74F34F"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Secondly, in order to understand a word’s semantic range, its use in </w:t>
      </w:r>
      <w:proofErr w:type="spellStart"/>
      <w:r w:rsidRPr="00305278">
        <w:rPr>
          <w:rFonts w:eastAsia="Times New Roman"/>
          <w:i/>
          <w:iCs/>
          <w:color w:val="auto"/>
          <w:lang w:eastAsia="en-CA" w:bidi="he-IL"/>
        </w:rPr>
        <w:t>Koine</w:t>
      </w:r>
      <w:proofErr w:type="spellEnd"/>
      <w:r w:rsidRPr="00305278">
        <w:rPr>
          <w:rFonts w:eastAsia="Times New Roman"/>
          <w:color w:val="auto"/>
          <w:lang w:eastAsia="en-CA" w:bidi="he-IL"/>
        </w:rPr>
        <w:t xml:space="preserve"> should be examined in the following order: 1. the NT itself; 2. the Septuagint; 3. Josephus; 4. other 1st century writers such as Philo, Plutarch, and the various papyri (if you have access to how a word is used in the papyri, this should trump Plutarch and other “fancier” writers since the papyri represents how the common man and woman of the day spoke and wrote).</w:t>
      </w:r>
    </w:p>
    <w:p w14:paraId="6DA6E15B"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noProof/>
          <w:color w:val="auto"/>
          <w:lang w:eastAsia="en-CA" w:bidi="he-IL"/>
        </w:rPr>
        <w:drawing>
          <wp:inline distT="0" distB="0" distL="0" distR="0" wp14:anchorId="228BCA3E" wp14:editId="67DA6551">
            <wp:extent cx="9758045" cy="5486400"/>
            <wp:effectExtent l="0" t="0" r="0" b="0"/>
            <wp:docPr id="8" name="Picture 8" descr="https://academic.logos.com/files/2017/03/p02rgqc5-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cademic.logos.com/files/2017/03/p02rgqc5-1024x57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58045" cy="5486400"/>
                    </a:xfrm>
                    <a:prstGeom prst="rect">
                      <a:avLst/>
                    </a:prstGeom>
                    <a:noFill/>
                    <a:ln>
                      <a:noFill/>
                    </a:ln>
                  </pic:spPr>
                </pic:pic>
              </a:graphicData>
            </a:graphic>
          </wp:inline>
        </w:drawing>
      </w:r>
    </w:p>
    <w:p w14:paraId="36206116"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After the NT, the LXX and Josephus take priority simply because they represent Jewish authors writing in Greek about biblical matters, and thus can be expected to possess significant parallels with the NT authors. Furthermore, as far as the LXX goes, we have to assume that the apostles had thoroughly immersed themselves in both its message and terminology.</w:t>
      </w:r>
    </w:p>
    <w:p w14:paraId="13395A98"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Consequently, when the Apostle Paul speaks of Jesus as our </w:t>
      </w:r>
      <w:proofErr w:type="spellStart"/>
      <w:r w:rsidRPr="00305278">
        <w:rPr>
          <w:rFonts w:eastAsia="Times New Roman"/>
          <w:color w:val="auto"/>
          <w:lang w:eastAsia="en-CA" w:bidi="he-IL"/>
        </w:rPr>
        <w:t>ἱλ</w:t>
      </w:r>
      <w:proofErr w:type="spellEnd"/>
      <w:r w:rsidRPr="00305278">
        <w:rPr>
          <w:rFonts w:eastAsia="Times New Roman"/>
          <w:color w:val="auto"/>
          <w:lang w:eastAsia="en-CA" w:bidi="he-IL"/>
        </w:rPr>
        <w:t>α</w:t>
      </w:r>
      <w:proofErr w:type="spellStart"/>
      <w:r w:rsidRPr="00305278">
        <w:rPr>
          <w:rFonts w:eastAsia="Times New Roman"/>
          <w:color w:val="auto"/>
          <w:lang w:eastAsia="en-CA" w:bidi="he-IL"/>
        </w:rPr>
        <w:t>στήριον</w:t>
      </w:r>
      <w:proofErr w:type="spellEnd"/>
      <w:r w:rsidRPr="00305278">
        <w:rPr>
          <w:rFonts w:eastAsia="Times New Roman"/>
          <w:color w:val="auto"/>
          <w:lang w:eastAsia="en-CA" w:bidi="he-IL"/>
        </w:rPr>
        <w:t xml:space="preserve"> (</w:t>
      </w:r>
      <w:hyperlink r:id="rId48" w:history="1">
        <w:r w:rsidRPr="00305278">
          <w:rPr>
            <w:rFonts w:eastAsia="Times New Roman"/>
            <w:color w:val="0000FF"/>
            <w:u w:val="single"/>
            <w:lang w:eastAsia="en-CA" w:bidi="he-IL"/>
          </w:rPr>
          <w:t>Rom 3:25</w:t>
        </w:r>
      </w:hyperlink>
      <w:r w:rsidRPr="00305278">
        <w:rPr>
          <w:rFonts w:eastAsia="Times New Roman"/>
          <w:color w:val="auto"/>
          <w:lang w:eastAsia="en-CA" w:bidi="he-IL"/>
        </w:rPr>
        <w:t xml:space="preserve">), one should naturally expect that he wished to invoke images of the actual physical Mercy Seat in the OT tabernacle, which is almost exclusively how the word is used in the LXX (cf. also </w:t>
      </w:r>
      <w:hyperlink r:id="rId49" w:history="1">
        <w:r w:rsidRPr="00305278">
          <w:rPr>
            <w:rFonts w:eastAsia="Times New Roman"/>
            <w:color w:val="0000FF"/>
            <w:u w:val="single"/>
            <w:lang w:eastAsia="en-CA" w:bidi="he-IL"/>
          </w:rPr>
          <w:t>Heb 9:5</w:t>
        </w:r>
      </w:hyperlink>
      <w:r w:rsidRPr="00305278">
        <w:rPr>
          <w:rFonts w:eastAsia="Times New Roman"/>
          <w:color w:val="auto"/>
          <w:lang w:eastAsia="en-CA" w:bidi="he-IL"/>
        </w:rPr>
        <w:t>).</w:t>
      </w:r>
      <w:hyperlink r:id="rId50" w:anchor="easy-footnote-bottom-10" w:history="1">
        <w:r w:rsidRPr="00305278">
          <w:rPr>
            <w:rFonts w:eastAsia="Times New Roman"/>
            <w:color w:val="0000FF"/>
            <w:u w:val="single"/>
            <w:vertAlign w:val="superscript"/>
            <w:lang w:eastAsia="en-CA" w:bidi="he-IL"/>
          </w:rPr>
          <w:t>10</w:t>
        </w:r>
      </w:hyperlink>
    </w:p>
    <w:p w14:paraId="1A552547" w14:textId="77777777" w:rsidR="00305278" w:rsidRPr="00305278" w:rsidRDefault="00305278" w:rsidP="00305278">
      <w:pPr>
        <w:spacing w:before="100" w:beforeAutospacing="1" w:after="100" w:afterAutospacing="1" w:line="240" w:lineRule="auto"/>
        <w:outlineLvl w:val="1"/>
        <w:rPr>
          <w:rFonts w:eastAsia="Times New Roman"/>
          <w:b/>
          <w:bCs/>
          <w:color w:val="auto"/>
          <w:sz w:val="36"/>
          <w:szCs w:val="36"/>
          <w:lang w:eastAsia="en-CA" w:bidi="he-IL"/>
        </w:rPr>
      </w:pPr>
      <w:r w:rsidRPr="00305278">
        <w:rPr>
          <w:rFonts w:eastAsia="Times New Roman"/>
          <w:b/>
          <w:bCs/>
          <w:color w:val="auto"/>
          <w:sz w:val="36"/>
          <w:szCs w:val="36"/>
          <w:lang w:eastAsia="en-CA" w:bidi="he-IL"/>
        </w:rPr>
        <w:t>Semantic Range and Context</w:t>
      </w:r>
    </w:p>
    <w:p w14:paraId="4F83E723"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Yet although one should look at semantic range </w:t>
      </w:r>
      <w:r w:rsidRPr="00305278">
        <w:rPr>
          <w:rFonts w:eastAsia="Times New Roman"/>
          <w:i/>
          <w:iCs/>
          <w:color w:val="auto"/>
          <w:lang w:eastAsia="en-CA" w:bidi="he-IL"/>
        </w:rPr>
        <w:t>in addition</w:t>
      </w:r>
      <w:r w:rsidRPr="00305278">
        <w:rPr>
          <w:rFonts w:eastAsia="Times New Roman"/>
          <w:color w:val="auto"/>
          <w:lang w:eastAsia="en-CA" w:bidi="he-IL"/>
        </w:rPr>
        <w:t xml:space="preserve"> to context in order to determine meaning, ironically one cannot understand the semantic range of a particular word in the Bible without looking at its use in various </w:t>
      </w:r>
      <w:r w:rsidRPr="00305278">
        <w:rPr>
          <w:rFonts w:eastAsia="Times New Roman"/>
          <w:i/>
          <w:iCs/>
          <w:color w:val="auto"/>
          <w:lang w:eastAsia="en-CA" w:bidi="he-IL"/>
        </w:rPr>
        <w:t>other</w:t>
      </w:r>
      <w:r w:rsidRPr="00305278">
        <w:rPr>
          <w:rFonts w:eastAsia="Times New Roman"/>
          <w:color w:val="auto"/>
          <w:lang w:eastAsia="en-CA" w:bidi="he-IL"/>
        </w:rPr>
        <w:t xml:space="preserve"> contexts. Yet when looking at a particular context, the reader should already know the semantic ranges of </w:t>
      </w:r>
      <w:r w:rsidRPr="00305278">
        <w:rPr>
          <w:rFonts w:eastAsia="Times New Roman"/>
          <w:i/>
          <w:iCs/>
          <w:color w:val="auto"/>
          <w:lang w:eastAsia="en-CA" w:bidi="he-IL"/>
        </w:rPr>
        <w:t>most</w:t>
      </w:r>
      <w:r w:rsidRPr="00305278">
        <w:rPr>
          <w:rFonts w:eastAsia="Times New Roman"/>
          <w:color w:val="auto"/>
          <w:lang w:eastAsia="en-CA" w:bidi="he-IL"/>
        </w:rPr>
        <w:t xml:space="preserve"> of the words in order to understand the meaning of a particular word.</w:t>
      </w:r>
    </w:p>
    <w:p w14:paraId="12471B76"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Occasionally, a sentence will be too difficult to puzzle through precisely because the reader does </w:t>
      </w:r>
      <w:r w:rsidRPr="00305278">
        <w:rPr>
          <w:rFonts w:eastAsia="Times New Roman"/>
          <w:i/>
          <w:iCs/>
          <w:color w:val="auto"/>
          <w:lang w:eastAsia="en-CA" w:bidi="he-IL"/>
        </w:rPr>
        <w:t>not</w:t>
      </w:r>
      <w:r w:rsidRPr="00305278">
        <w:rPr>
          <w:rFonts w:eastAsia="Times New Roman"/>
          <w:color w:val="auto"/>
          <w:lang w:eastAsia="en-CA" w:bidi="he-IL"/>
        </w:rPr>
        <w:t xml:space="preserve"> know the semantic ranges of words or the significance of specific syntactical constructions. Consequently, when learning both written and vocal languages, one must always work from the </w:t>
      </w:r>
      <w:r w:rsidRPr="00305278">
        <w:rPr>
          <w:rFonts w:eastAsia="Times New Roman"/>
          <w:i/>
          <w:iCs/>
          <w:color w:val="auto"/>
          <w:lang w:eastAsia="en-CA" w:bidi="he-IL"/>
        </w:rPr>
        <w:t>simpler</w:t>
      </w:r>
      <w:r w:rsidRPr="00305278">
        <w:rPr>
          <w:rFonts w:eastAsia="Times New Roman"/>
          <w:color w:val="auto"/>
          <w:lang w:eastAsia="en-CA" w:bidi="he-IL"/>
        </w:rPr>
        <w:t xml:space="preserve"> to the </w:t>
      </w:r>
      <w:r w:rsidRPr="00305278">
        <w:rPr>
          <w:rFonts w:eastAsia="Times New Roman"/>
          <w:i/>
          <w:iCs/>
          <w:color w:val="auto"/>
          <w:lang w:eastAsia="en-CA" w:bidi="he-IL"/>
        </w:rPr>
        <w:t>more complex</w:t>
      </w:r>
      <w:r w:rsidRPr="00305278">
        <w:rPr>
          <w:rFonts w:eastAsia="Times New Roman"/>
          <w:color w:val="auto"/>
          <w:lang w:eastAsia="en-CA" w:bidi="he-IL"/>
        </w:rPr>
        <w:t>, gaining insight as one continues to immerse oneself in the language.</w:t>
      </w:r>
    </w:p>
    <w:p w14:paraId="4CF52701"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This can be illustrated with a “tourist” analogy. At the most primitive level of communication, a completely lost foreigner looking for the train station in Tokyo would probably not (contrary to popular perception) resort to raising his voice, but rather to gestures imitating a train (“charades”).</w:t>
      </w:r>
    </w:p>
    <w:p w14:paraId="73E6207C"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Having established, through the use of gestures, that “train” is </w:t>
      </w:r>
      <w:proofErr w:type="spellStart"/>
      <w:r w:rsidRPr="00305278">
        <w:rPr>
          <w:rFonts w:eastAsia="Times New Roman"/>
          <w:i/>
          <w:iCs/>
          <w:color w:val="auto"/>
          <w:lang w:eastAsia="en-CA" w:bidi="he-IL"/>
        </w:rPr>
        <w:t>densha</w:t>
      </w:r>
      <w:r w:rsidRPr="00305278">
        <w:rPr>
          <w:rFonts w:eastAsia="Times New Roman"/>
          <w:color w:val="auto"/>
          <w:lang w:eastAsia="en-CA" w:bidi="he-IL"/>
        </w:rPr>
        <w:t>in</w:t>
      </w:r>
      <w:proofErr w:type="spellEnd"/>
      <w:r w:rsidRPr="00305278">
        <w:rPr>
          <w:rFonts w:eastAsia="Times New Roman"/>
          <w:color w:val="auto"/>
          <w:lang w:eastAsia="en-CA" w:bidi="he-IL"/>
        </w:rPr>
        <w:t xml:space="preserve"> Japanese, he can now make educated guesses as to the words surrounding </w:t>
      </w:r>
      <w:proofErr w:type="spellStart"/>
      <w:r w:rsidRPr="00305278">
        <w:rPr>
          <w:rFonts w:eastAsia="Times New Roman"/>
          <w:i/>
          <w:iCs/>
          <w:color w:val="auto"/>
          <w:lang w:eastAsia="en-CA" w:bidi="he-IL"/>
        </w:rPr>
        <w:t>densha</w:t>
      </w:r>
      <w:proofErr w:type="spellEnd"/>
      <w:r w:rsidRPr="00305278">
        <w:rPr>
          <w:rFonts w:eastAsia="Times New Roman"/>
          <w:color w:val="auto"/>
          <w:lang w:eastAsia="en-CA" w:bidi="he-IL"/>
        </w:rPr>
        <w:t xml:space="preserve"> in a sentence, especially those words that occur frequently in simple contexts. Some of his guesses will be wrong, but his guesses will improve the more he is immersed in the language. As his understanding of the meaning of both words and sentences improves, so will his ability to make educated guesses regarding the meaning of new words within different contexts.</w:t>
      </w:r>
    </w:p>
    <w:p w14:paraId="5E792E0E"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Furthermore, his guesses will be more likely to be correct in simpler sentences than in complex sentences. After all, the English word “car” would be more easily understandable to a non-native speaker in the sentence “The car was in an accident” (accompanied by gestures) than “Tony Stewart short-shifted his car while expertly slipstreaming past the lead.”</w:t>
      </w:r>
      <w:hyperlink r:id="rId51" w:anchor="easy-footnote-bottom-11" w:history="1">
        <w:r w:rsidRPr="00305278">
          <w:rPr>
            <w:rFonts w:eastAsia="Times New Roman"/>
            <w:color w:val="0000FF"/>
            <w:u w:val="single"/>
            <w:vertAlign w:val="superscript"/>
            <w:lang w:eastAsia="en-CA" w:bidi="he-IL"/>
          </w:rPr>
          <w:t>11</w:t>
        </w:r>
      </w:hyperlink>
      <w:r w:rsidRPr="00305278">
        <w:rPr>
          <w:rFonts w:eastAsia="Times New Roman"/>
          <w:color w:val="auto"/>
          <w:lang w:eastAsia="en-CA" w:bidi="he-IL"/>
        </w:rPr>
        <w:t xml:space="preserve"> So, when examining how a word is used in a particular biblical text, how a word is used elsewhere in simpler and non-controversial texts is better evidence than how a word is used in complex and murkier texts.</w:t>
      </w:r>
    </w:p>
    <w:p w14:paraId="69E8B669"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Thus the more comprehensive one’s grasp of the language (i.e., semantic ranges and syntactical constructions), the more likely somebody can determine from a specific context the meaning of a particular word. Both a knowledge of context and semantic range are necessary; once again, if “context is king,” then “semantic range is parliament.”</w:t>
      </w:r>
    </w:p>
    <w:p w14:paraId="1FAAC67E" w14:textId="77777777" w:rsidR="00305278" w:rsidRPr="00305278" w:rsidRDefault="00305278" w:rsidP="00305278">
      <w:pPr>
        <w:spacing w:before="100" w:beforeAutospacing="1" w:after="100" w:afterAutospacing="1" w:line="240" w:lineRule="auto"/>
        <w:outlineLvl w:val="1"/>
        <w:rPr>
          <w:rFonts w:eastAsia="Times New Roman"/>
          <w:b/>
          <w:bCs/>
          <w:color w:val="auto"/>
          <w:sz w:val="36"/>
          <w:szCs w:val="36"/>
          <w:lang w:eastAsia="en-CA" w:bidi="he-IL"/>
        </w:rPr>
      </w:pPr>
      <w:r w:rsidRPr="00305278">
        <w:rPr>
          <w:rFonts w:eastAsia="Times New Roman"/>
          <w:b/>
          <w:bCs/>
          <w:color w:val="auto"/>
          <w:sz w:val="36"/>
          <w:szCs w:val="36"/>
          <w:lang w:eastAsia="en-CA" w:bidi="he-IL"/>
        </w:rPr>
        <w:t>Goodbye Etymology?</w:t>
      </w:r>
    </w:p>
    <w:p w14:paraId="758D9C46"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Since we are relying on semantic range and context to determine meaning, very rarely do we have to worry about etymology, the history of a word. Etymology simply does not factor into the way society normally uses language. For example, as a baby develops and learns the meanings of words, he or she does not do so based on an inherent knowledge of the history of a word,</w:t>
      </w:r>
      <w:hyperlink r:id="rId52" w:anchor="easy-footnote-bottom-12" w:history="1">
        <w:r w:rsidRPr="00305278">
          <w:rPr>
            <w:rFonts w:eastAsia="Times New Roman"/>
            <w:color w:val="0000FF"/>
            <w:u w:val="single"/>
            <w:vertAlign w:val="superscript"/>
            <w:lang w:eastAsia="en-CA" w:bidi="he-IL"/>
          </w:rPr>
          <w:t>12</w:t>
        </w:r>
      </w:hyperlink>
      <w:r w:rsidRPr="00305278">
        <w:rPr>
          <w:rFonts w:eastAsia="Times New Roman"/>
          <w:color w:val="auto"/>
          <w:lang w:eastAsia="en-CA" w:bidi="he-IL"/>
        </w:rPr>
        <w:t xml:space="preserve"> but rather based on </w:t>
      </w:r>
      <w:r w:rsidRPr="00305278">
        <w:rPr>
          <w:rFonts w:eastAsia="Times New Roman"/>
          <w:i/>
          <w:iCs/>
          <w:color w:val="auto"/>
          <w:lang w:eastAsia="en-CA" w:bidi="he-IL"/>
        </w:rPr>
        <w:t>how people in the same room are using the word!</w:t>
      </w:r>
      <w:hyperlink r:id="rId53" w:anchor="easy-footnote-bottom-13" w:history="1">
        <w:r w:rsidRPr="00305278">
          <w:rPr>
            <w:rFonts w:eastAsia="Times New Roman"/>
            <w:color w:val="0000FF"/>
            <w:u w:val="single"/>
            <w:vertAlign w:val="superscript"/>
            <w:lang w:eastAsia="en-CA" w:bidi="he-IL"/>
          </w:rPr>
          <w:t>13</w:t>
        </w:r>
      </w:hyperlink>
    </w:p>
    <w:p w14:paraId="54B114BA"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To be sure, a baby experiences trial and error: “da-da” may alternately refer to a toy truck, an older sister, or even the family dog before the baby “gets it right.” At no point in the development of a child, however, does he or she stop and think, “I will use this word based on how the word was morphologically constructed 500 years ago.” Generally speaking, neither do adults.</w:t>
      </w:r>
    </w:p>
    <w:p w14:paraId="2875019B"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Having said that, etymology can be helpful in two cases. First, “The etymology of a word may help to determine its meaning, but only if it can be demonstrated that the speaker was aware of that etymology.”</w:t>
      </w:r>
      <w:hyperlink r:id="rId54" w:anchor="easy-footnote-bottom-14" w:history="1">
        <w:r w:rsidRPr="00305278">
          <w:rPr>
            <w:rFonts w:eastAsia="Times New Roman"/>
            <w:color w:val="0000FF"/>
            <w:u w:val="single"/>
            <w:vertAlign w:val="superscript"/>
            <w:lang w:eastAsia="en-CA" w:bidi="he-IL"/>
          </w:rPr>
          <w:t>14</w:t>
        </w:r>
      </w:hyperlink>
      <w:r w:rsidRPr="00305278">
        <w:rPr>
          <w:rFonts w:eastAsia="Times New Roman"/>
          <w:color w:val="auto"/>
          <w:lang w:eastAsia="en-CA" w:bidi="he-IL"/>
        </w:rPr>
        <w:t xml:space="preserve"> Secondly, for extremely rare words or words such as </w:t>
      </w:r>
      <w:proofErr w:type="spellStart"/>
      <w:r w:rsidRPr="00305278">
        <w:rPr>
          <w:rFonts w:eastAsia="Times New Roman"/>
          <w:color w:val="auto"/>
          <w:lang w:eastAsia="en-CA" w:bidi="he-IL"/>
        </w:rPr>
        <w:t>θεό</w:t>
      </w:r>
      <w:proofErr w:type="spellEnd"/>
      <w:r w:rsidRPr="00305278">
        <w:rPr>
          <w:rFonts w:eastAsia="Times New Roman"/>
          <w:color w:val="auto"/>
          <w:lang w:eastAsia="en-CA" w:bidi="he-IL"/>
        </w:rPr>
        <w:t>π</w:t>
      </w:r>
      <w:proofErr w:type="spellStart"/>
      <w:r w:rsidRPr="00305278">
        <w:rPr>
          <w:rFonts w:eastAsia="Times New Roman"/>
          <w:color w:val="auto"/>
          <w:lang w:eastAsia="en-CA" w:bidi="he-IL"/>
        </w:rPr>
        <w:t>νευστος</w:t>
      </w:r>
      <w:proofErr w:type="spellEnd"/>
      <w:r w:rsidRPr="00305278">
        <w:rPr>
          <w:rFonts w:eastAsia="Times New Roman"/>
          <w:color w:val="auto"/>
          <w:lang w:eastAsia="en-CA" w:bidi="he-IL"/>
        </w:rPr>
        <w:t xml:space="preserve"> which appears nowhere else in Greek literature prior to the 2 Timothy, etymology may be our only clue as to its meaning.</w:t>
      </w:r>
      <w:hyperlink r:id="rId55" w:anchor="easy-footnote-bottom-15" w:history="1">
        <w:r w:rsidRPr="00305278">
          <w:rPr>
            <w:rFonts w:eastAsia="Times New Roman"/>
            <w:color w:val="0000FF"/>
            <w:u w:val="single"/>
            <w:vertAlign w:val="superscript"/>
            <w:lang w:eastAsia="en-CA" w:bidi="he-IL"/>
          </w:rPr>
          <w:t>15</w:t>
        </w:r>
      </w:hyperlink>
    </w:p>
    <w:p w14:paraId="2BCB6F93" w14:textId="77777777" w:rsidR="00305278" w:rsidRPr="00305278" w:rsidRDefault="00305278" w:rsidP="00305278">
      <w:pPr>
        <w:spacing w:before="100" w:beforeAutospacing="1" w:after="100" w:afterAutospacing="1" w:line="240" w:lineRule="auto"/>
        <w:outlineLvl w:val="1"/>
        <w:rPr>
          <w:rFonts w:eastAsia="Times New Roman"/>
          <w:b/>
          <w:bCs/>
          <w:color w:val="auto"/>
          <w:sz w:val="36"/>
          <w:szCs w:val="36"/>
          <w:lang w:eastAsia="en-CA" w:bidi="he-IL"/>
        </w:rPr>
      </w:pPr>
      <w:r w:rsidRPr="00305278">
        <w:rPr>
          <w:rFonts w:eastAsia="Times New Roman"/>
          <w:b/>
          <w:bCs/>
          <w:color w:val="auto"/>
          <w:sz w:val="36"/>
          <w:szCs w:val="36"/>
          <w:lang w:eastAsia="en-CA" w:bidi="he-IL"/>
        </w:rPr>
        <w:t>Compound Word Fallacy</w:t>
      </w:r>
    </w:p>
    <w:p w14:paraId="36843331"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Notwithstanding rare examples such as </w:t>
      </w:r>
      <w:proofErr w:type="spellStart"/>
      <w:r w:rsidRPr="00305278">
        <w:rPr>
          <w:rFonts w:eastAsia="Times New Roman"/>
          <w:color w:val="auto"/>
          <w:lang w:eastAsia="en-CA" w:bidi="he-IL"/>
        </w:rPr>
        <w:t>θεό</w:t>
      </w:r>
      <w:proofErr w:type="spellEnd"/>
      <w:r w:rsidRPr="00305278">
        <w:rPr>
          <w:rFonts w:eastAsia="Times New Roman"/>
          <w:color w:val="auto"/>
          <w:lang w:eastAsia="en-CA" w:bidi="he-IL"/>
        </w:rPr>
        <w:t>π</w:t>
      </w:r>
      <w:proofErr w:type="spellStart"/>
      <w:r w:rsidRPr="00305278">
        <w:rPr>
          <w:rFonts w:eastAsia="Times New Roman"/>
          <w:color w:val="auto"/>
          <w:lang w:eastAsia="en-CA" w:bidi="he-IL"/>
        </w:rPr>
        <w:t>νευστος</w:t>
      </w:r>
      <w:proofErr w:type="spellEnd"/>
      <w:r w:rsidRPr="00305278">
        <w:rPr>
          <w:rFonts w:eastAsia="Times New Roman"/>
          <w:color w:val="auto"/>
          <w:lang w:eastAsia="en-CA" w:bidi="he-IL"/>
        </w:rPr>
        <w:t>, a corollary to the etymological fallacy is the idea that a compound word automatically has the same semantic range as the combination of the meanings of the two words it derived from. Granted, obviously there will be a connection. Yet with compound words, the whole is not equal to the sum of its parts.</w:t>
      </w:r>
    </w:p>
    <w:p w14:paraId="08ACC202"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In other words, π</w:t>
      </w:r>
      <w:proofErr w:type="spellStart"/>
      <w:r w:rsidRPr="00305278">
        <w:rPr>
          <w:rFonts w:eastAsia="Times New Roman"/>
          <w:color w:val="auto"/>
          <w:lang w:eastAsia="en-CA" w:bidi="he-IL"/>
        </w:rPr>
        <w:t>ροστρέχω</w:t>
      </w:r>
      <w:proofErr w:type="spellEnd"/>
      <w:r w:rsidRPr="00305278">
        <w:rPr>
          <w:rFonts w:eastAsia="Times New Roman"/>
          <w:color w:val="auto"/>
          <w:lang w:eastAsia="en-CA" w:bidi="he-IL"/>
        </w:rPr>
        <w:t>, for example, should not be understood as: “=[semantic range of π</w:t>
      </w:r>
      <w:proofErr w:type="spellStart"/>
      <w:r w:rsidRPr="00305278">
        <w:rPr>
          <w:rFonts w:eastAsia="Times New Roman"/>
          <w:color w:val="auto"/>
          <w:lang w:eastAsia="en-CA" w:bidi="he-IL"/>
        </w:rPr>
        <w:t>ρός</w:t>
      </w:r>
      <w:proofErr w:type="spellEnd"/>
      <w:r w:rsidRPr="00305278">
        <w:rPr>
          <w:rFonts w:eastAsia="Times New Roman"/>
          <w:color w:val="auto"/>
          <w:lang w:eastAsia="en-CA" w:bidi="he-IL"/>
        </w:rPr>
        <w:t xml:space="preserve">] + [semantic range of </w:t>
      </w:r>
      <w:proofErr w:type="spellStart"/>
      <w:r w:rsidRPr="00305278">
        <w:rPr>
          <w:rFonts w:eastAsia="Times New Roman"/>
          <w:color w:val="auto"/>
          <w:lang w:eastAsia="en-CA" w:bidi="he-IL"/>
        </w:rPr>
        <w:t>τρέχω</w:t>
      </w:r>
      <w:proofErr w:type="spellEnd"/>
      <w:r w:rsidRPr="00305278">
        <w:rPr>
          <w:rFonts w:eastAsia="Times New Roman"/>
          <w:color w:val="auto"/>
          <w:lang w:eastAsia="en-CA" w:bidi="he-IL"/>
        </w:rPr>
        <w:t xml:space="preserve">],” as if the compound word would </w:t>
      </w:r>
      <w:r w:rsidRPr="00305278">
        <w:rPr>
          <w:rFonts w:eastAsia="Times New Roman"/>
          <w:i/>
          <w:iCs/>
          <w:color w:val="auto"/>
          <w:lang w:eastAsia="en-CA" w:bidi="he-IL"/>
        </w:rPr>
        <w:t>automatically</w:t>
      </w:r>
      <w:r w:rsidRPr="00305278">
        <w:rPr>
          <w:rFonts w:eastAsia="Times New Roman"/>
          <w:color w:val="auto"/>
          <w:lang w:eastAsia="en-CA" w:bidi="he-IL"/>
        </w:rPr>
        <w:t xml:space="preserve"> have the meaning of “running in accordance with something” instead of “running up to someone or something.”</w:t>
      </w:r>
      <w:hyperlink r:id="rId56" w:anchor="easy-footnote-bottom-16" w:history="1">
        <w:r w:rsidRPr="00305278">
          <w:rPr>
            <w:rFonts w:eastAsia="Times New Roman"/>
            <w:color w:val="0000FF"/>
            <w:u w:val="single"/>
            <w:vertAlign w:val="superscript"/>
            <w:lang w:eastAsia="en-CA" w:bidi="he-IL"/>
          </w:rPr>
          <w:t>16</w:t>
        </w:r>
      </w:hyperlink>
      <w:r w:rsidRPr="00305278">
        <w:rPr>
          <w:rFonts w:eastAsia="Times New Roman"/>
          <w:color w:val="auto"/>
          <w:lang w:eastAsia="en-CA" w:bidi="he-IL"/>
        </w:rPr>
        <w:t xml:space="preserve"> As Turner and Cotterell state, “We should not, however, be beguiled . . . into thinking that compound lexemes always are, or even usually, bear a meaning that is little more than a summation of the separate meanings of the elements of which the word is composed.”</w:t>
      </w:r>
      <w:hyperlink r:id="rId57" w:anchor="easy-footnote-bottom-17" w:history="1">
        <w:r w:rsidRPr="00305278">
          <w:rPr>
            <w:rFonts w:eastAsia="Times New Roman"/>
            <w:color w:val="0000FF"/>
            <w:u w:val="single"/>
            <w:vertAlign w:val="superscript"/>
            <w:lang w:eastAsia="en-CA" w:bidi="he-IL"/>
          </w:rPr>
          <w:t>17</w:t>
        </w:r>
      </w:hyperlink>
      <w:r w:rsidRPr="00305278">
        <w:rPr>
          <w:rFonts w:eastAsia="Times New Roman"/>
          <w:color w:val="auto"/>
          <w:lang w:eastAsia="en-CA" w:bidi="he-IL"/>
        </w:rPr>
        <w:t xml:space="preserve"> Compound words must be studied in their own right, not on the basis of their morphology.</w:t>
      </w:r>
      <w:hyperlink r:id="rId58" w:anchor="easy-footnote-bottom-18" w:history="1">
        <w:r w:rsidRPr="00305278">
          <w:rPr>
            <w:rFonts w:eastAsia="Times New Roman"/>
            <w:color w:val="0000FF"/>
            <w:u w:val="single"/>
            <w:vertAlign w:val="superscript"/>
            <w:lang w:eastAsia="en-CA" w:bidi="he-IL"/>
          </w:rPr>
          <w:t>18</w:t>
        </w:r>
      </w:hyperlink>
    </w:p>
    <w:p w14:paraId="669B8D15" w14:textId="77777777" w:rsidR="00305278" w:rsidRPr="00305278" w:rsidRDefault="00305278" w:rsidP="00305278">
      <w:pPr>
        <w:spacing w:before="100" w:beforeAutospacing="1" w:after="100" w:afterAutospacing="1" w:line="240" w:lineRule="auto"/>
        <w:outlineLvl w:val="1"/>
        <w:rPr>
          <w:rFonts w:eastAsia="Times New Roman"/>
          <w:b/>
          <w:bCs/>
          <w:color w:val="auto"/>
          <w:sz w:val="36"/>
          <w:szCs w:val="36"/>
          <w:lang w:eastAsia="en-CA" w:bidi="he-IL"/>
        </w:rPr>
      </w:pPr>
      <w:r w:rsidRPr="00305278">
        <w:rPr>
          <w:rFonts w:eastAsia="Times New Roman"/>
          <w:b/>
          <w:bCs/>
          <w:color w:val="auto"/>
          <w:sz w:val="36"/>
          <w:szCs w:val="36"/>
          <w:lang w:eastAsia="en-CA" w:bidi="he-IL"/>
        </w:rPr>
        <w:t>Summary</w:t>
      </w:r>
    </w:p>
    <w:p w14:paraId="78804DF8"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In summary:</w:t>
      </w:r>
    </w:p>
    <w:p w14:paraId="6D3C2026" w14:textId="77777777" w:rsidR="00305278" w:rsidRPr="00305278" w:rsidRDefault="00305278" w:rsidP="00305278">
      <w:pPr>
        <w:numPr>
          <w:ilvl w:val="0"/>
          <w:numId w:val="3"/>
        </w:num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Words and concepts are different, and their relationship will change over time</w:t>
      </w:r>
    </w:p>
    <w:p w14:paraId="36AA31CA" w14:textId="77777777" w:rsidR="00305278" w:rsidRPr="00305278" w:rsidRDefault="00305278" w:rsidP="00305278">
      <w:pPr>
        <w:numPr>
          <w:ilvl w:val="0"/>
          <w:numId w:val="3"/>
        </w:num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A single word can point to different concepts at different times (rarely at the same time)</w:t>
      </w:r>
    </w:p>
    <w:p w14:paraId="3A44E016" w14:textId="77777777" w:rsidR="00305278" w:rsidRPr="00305278" w:rsidRDefault="00305278" w:rsidP="00305278">
      <w:pPr>
        <w:numPr>
          <w:ilvl w:val="0"/>
          <w:numId w:val="3"/>
        </w:num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Multiple words can point to the same concept (which means you need to study more than one word to understand a concept)</w:t>
      </w:r>
    </w:p>
    <w:p w14:paraId="7F556D53" w14:textId="77777777" w:rsidR="00305278" w:rsidRPr="00305278" w:rsidRDefault="00305278" w:rsidP="00305278">
      <w:pPr>
        <w:numPr>
          <w:ilvl w:val="0"/>
          <w:numId w:val="3"/>
        </w:num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Both a knowledge of semantic range (how a word is used elsewhere) and context are key to determining meaning</w:t>
      </w:r>
    </w:p>
    <w:p w14:paraId="0B501858" w14:textId="77777777" w:rsidR="00305278" w:rsidRPr="00305278" w:rsidRDefault="00305278" w:rsidP="00305278">
      <w:pPr>
        <w:numPr>
          <w:ilvl w:val="0"/>
          <w:numId w:val="3"/>
        </w:num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Etymology can be helpful but should only be used as a last resort in determining meaning.</w:t>
      </w:r>
    </w:p>
    <w:p w14:paraId="1AC29FF1"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One final point for the linguistically-inclined (or any “gluttons for punishment”). Language is fluid, and as we pointed out earlier, there are some brave souls who will use words in ways they haven’t been used before. In other words, as Relevance Theory points out regarding the interrelation between words and concepts, these relationships may be somewhat modified on the fly to create what Robyn Carston calls an “</w:t>
      </w:r>
      <w:r w:rsidRPr="00305278">
        <w:rPr>
          <w:rFonts w:eastAsia="Times New Roman"/>
          <w:i/>
          <w:iCs/>
          <w:color w:val="auto"/>
          <w:lang w:eastAsia="en-CA" w:bidi="he-IL"/>
        </w:rPr>
        <w:t>ad hoc</w:t>
      </w:r>
      <w:r w:rsidRPr="00305278">
        <w:rPr>
          <w:rFonts w:eastAsia="Times New Roman"/>
          <w:color w:val="auto"/>
          <w:lang w:eastAsia="en-CA" w:bidi="he-IL"/>
        </w:rPr>
        <w:t xml:space="preserve"> concept.”</w:t>
      </w:r>
      <w:hyperlink r:id="rId59" w:anchor="easy-footnote-bottom-19" w:history="1">
        <w:r w:rsidRPr="00305278">
          <w:rPr>
            <w:rFonts w:eastAsia="Times New Roman"/>
            <w:color w:val="0000FF"/>
            <w:u w:val="single"/>
            <w:vertAlign w:val="superscript"/>
            <w:lang w:eastAsia="en-CA" w:bidi="he-IL"/>
          </w:rPr>
          <w:t>19</w:t>
        </w:r>
      </w:hyperlink>
    </w:p>
    <w:p w14:paraId="377EAE54"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So anybody can, in theory, utilize words to create a new concept for the listener or hearer (by “new” I mean “one which the reader had not thought of before”). Carston gives the example of somebody who uses the expression “Ken’s a (real) </w:t>
      </w:r>
      <w:r w:rsidRPr="00305278">
        <w:rPr>
          <w:rFonts w:eastAsia="Times New Roman"/>
          <w:i/>
          <w:iCs/>
          <w:color w:val="auto"/>
          <w:lang w:eastAsia="en-CA" w:bidi="he-IL"/>
        </w:rPr>
        <w:t>bachelor</w:t>
      </w:r>
      <w:r w:rsidRPr="00305278">
        <w:rPr>
          <w:rFonts w:eastAsia="Times New Roman"/>
          <w:color w:val="auto"/>
          <w:lang w:eastAsia="en-CA" w:bidi="he-IL"/>
        </w:rPr>
        <w:t>,” which would not point to the normal meaning of “bachelor” as simply an unmarried man, but rather to a different concept, that of a particular lifestyle.</w:t>
      </w:r>
      <w:hyperlink r:id="rId60" w:anchor="easy-footnote-bottom-20" w:history="1">
        <w:r w:rsidRPr="00305278">
          <w:rPr>
            <w:rFonts w:eastAsia="Times New Roman"/>
            <w:color w:val="0000FF"/>
            <w:u w:val="single"/>
            <w:vertAlign w:val="superscript"/>
            <w:lang w:eastAsia="en-CA" w:bidi="he-IL"/>
          </w:rPr>
          <w:t>20</w:t>
        </w:r>
      </w:hyperlink>
    </w:p>
    <w:p w14:paraId="11F294D3"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Furthermore, an author may use a word in an unfamiliar way and then use multiple words to explain what he or she means, or even introduce a totally new concept to somebody with multiple words, and then associate that concept with a specific word or phrase (e.g., Paul Bloom gives us the excellent example of teaching somebody who is not a hockey fan the meaning of “hat trick”).</w:t>
      </w:r>
      <w:hyperlink r:id="rId61" w:anchor="easy-footnote-bottom-21" w:history="1">
        <w:r w:rsidRPr="00305278">
          <w:rPr>
            <w:rFonts w:eastAsia="Times New Roman"/>
            <w:color w:val="0000FF"/>
            <w:u w:val="single"/>
            <w:vertAlign w:val="superscript"/>
            <w:lang w:eastAsia="en-CA" w:bidi="he-IL"/>
          </w:rPr>
          <w:t>21</w:t>
        </w:r>
      </w:hyperlink>
    </w:p>
    <w:p w14:paraId="224420FF"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No doubt this happens in the NT, but it is not the word itself which introduces a radically new concept, but the explanation surrounding the word. This, then, brings us back full circle to Barr’s point: theology is generally performed at the sentence level, not the word level.</w:t>
      </w:r>
    </w:p>
    <w:p w14:paraId="2AB28EE9" w14:textId="77777777" w:rsidR="00305278" w:rsidRPr="00305278" w:rsidRDefault="00305278" w:rsidP="00305278">
      <w:pPr>
        <w:spacing w:before="100" w:beforeAutospacing="1" w:after="100" w:afterAutospacing="1" w:line="240" w:lineRule="auto"/>
        <w:outlineLvl w:val="1"/>
        <w:rPr>
          <w:rFonts w:eastAsia="Times New Roman"/>
          <w:b/>
          <w:bCs/>
          <w:color w:val="auto"/>
          <w:sz w:val="36"/>
          <w:szCs w:val="36"/>
          <w:lang w:eastAsia="en-CA" w:bidi="he-IL"/>
        </w:rPr>
      </w:pPr>
      <w:r w:rsidRPr="00305278">
        <w:rPr>
          <w:rFonts w:eastAsia="Times New Roman"/>
          <w:b/>
          <w:bCs/>
          <w:color w:val="auto"/>
          <w:sz w:val="36"/>
          <w:szCs w:val="36"/>
          <w:lang w:eastAsia="en-CA" w:bidi="he-IL"/>
        </w:rPr>
        <w:t>Suggested Readings</w:t>
      </w:r>
    </w:p>
    <w:p w14:paraId="1F2143EF"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Thanks again for reading my posts on The Meanings of Words, part 1 and part 2. If you want to learn more, here is a list of suggested readings:</w:t>
      </w:r>
    </w:p>
    <w:p w14:paraId="5A37DFA5"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Barr, James. </w:t>
      </w:r>
      <w:hyperlink r:id="rId62" w:history="1">
        <w:r w:rsidRPr="00305278">
          <w:rPr>
            <w:rFonts w:eastAsia="Times New Roman"/>
            <w:i/>
            <w:iCs/>
            <w:color w:val="0000FF"/>
            <w:u w:val="single"/>
            <w:lang w:eastAsia="en-CA" w:bidi="he-IL"/>
          </w:rPr>
          <w:t>The Semantics of Biblical Language</w:t>
        </w:r>
      </w:hyperlink>
      <w:r w:rsidRPr="00305278">
        <w:rPr>
          <w:rFonts w:eastAsia="Times New Roman"/>
          <w:color w:val="auto"/>
          <w:lang w:eastAsia="en-CA" w:bidi="he-IL"/>
        </w:rPr>
        <w:t xml:space="preserve">. Reprinted. Eugene, OR: </w:t>
      </w:r>
      <w:proofErr w:type="spellStart"/>
      <w:r w:rsidRPr="00305278">
        <w:rPr>
          <w:rFonts w:eastAsia="Times New Roman"/>
          <w:color w:val="auto"/>
          <w:lang w:eastAsia="en-CA" w:bidi="he-IL"/>
        </w:rPr>
        <w:t>Wipf&amp;Stock</w:t>
      </w:r>
      <w:proofErr w:type="spellEnd"/>
      <w:r w:rsidRPr="00305278">
        <w:rPr>
          <w:rFonts w:eastAsia="Times New Roman"/>
          <w:color w:val="auto"/>
          <w:lang w:eastAsia="en-CA" w:bidi="he-IL"/>
        </w:rPr>
        <w:t>, 2004.</w:t>
      </w:r>
    </w:p>
    <w:p w14:paraId="2C8BA325"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Black, David Alan. </w:t>
      </w:r>
      <w:hyperlink r:id="rId63" w:history="1">
        <w:r w:rsidRPr="00305278">
          <w:rPr>
            <w:rFonts w:eastAsia="Times New Roman"/>
            <w:i/>
            <w:iCs/>
            <w:color w:val="0000FF"/>
            <w:u w:val="single"/>
            <w:lang w:eastAsia="en-CA" w:bidi="he-IL"/>
          </w:rPr>
          <w:t>Linguistics for Students of New Testament Greek: A Survey of Basic Concepts and Applications</w:t>
        </w:r>
      </w:hyperlink>
      <w:r w:rsidRPr="00305278">
        <w:rPr>
          <w:rFonts w:eastAsia="Times New Roman"/>
          <w:color w:val="auto"/>
          <w:lang w:eastAsia="en-CA" w:bidi="he-IL"/>
        </w:rPr>
        <w:t>. 2nd ed. Grand Rapids, MI: Baker, 1995.</w:t>
      </w:r>
    </w:p>
    <w:p w14:paraId="03FE92FE"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Bloom, Paul. </w:t>
      </w:r>
      <w:r w:rsidRPr="00305278">
        <w:rPr>
          <w:rFonts w:eastAsia="Times New Roman"/>
          <w:i/>
          <w:iCs/>
          <w:color w:val="auto"/>
          <w:lang w:eastAsia="en-CA" w:bidi="he-IL"/>
        </w:rPr>
        <w:t>How Children Learn the Meaning of Words</w:t>
      </w:r>
      <w:r w:rsidRPr="00305278">
        <w:rPr>
          <w:rFonts w:eastAsia="Times New Roman"/>
          <w:color w:val="auto"/>
          <w:lang w:eastAsia="en-CA" w:bidi="he-IL"/>
        </w:rPr>
        <w:t>. Cambridge, MA: MIT Press, 2000.</w:t>
      </w:r>
    </w:p>
    <w:p w14:paraId="5859D7DD"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Carson, D. A. </w:t>
      </w:r>
      <w:hyperlink r:id="rId64" w:history="1">
        <w:r w:rsidRPr="00305278">
          <w:rPr>
            <w:rFonts w:eastAsia="Times New Roman"/>
            <w:i/>
            <w:iCs/>
            <w:color w:val="0000FF"/>
            <w:u w:val="single"/>
            <w:lang w:eastAsia="en-CA" w:bidi="he-IL"/>
          </w:rPr>
          <w:t>Exegetical Fallacies</w:t>
        </w:r>
      </w:hyperlink>
      <w:r w:rsidRPr="00305278">
        <w:rPr>
          <w:rFonts w:eastAsia="Times New Roman"/>
          <w:color w:val="auto"/>
          <w:lang w:eastAsia="en-CA" w:bidi="he-IL"/>
        </w:rPr>
        <w:t>. Grand Rapids, MI: Baker, 1984.</w:t>
      </w:r>
    </w:p>
    <w:p w14:paraId="09BB1EF7"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Cotterell, Peter, and Max Turner. </w:t>
      </w:r>
      <w:r w:rsidRPr="00305278">
        <w:rPr>
          <w:rFonts w:eastAsia="Times New Roman"/>
          <w:i/>
          <w:iCs/>
          <w:color w:val="auto"/>
          <w:lang w:eastAsia="en-CA" w:bidi="he-IL"/>
        </w:rPr>
        <w:t>Linguistics and Biblical Interpretation</w:t>
      </w:r>
      <w:r w:rsidRPr="00305278">
        <w:rPr>
          <w:rFonts w:eastAsia="Times New Roman"/>
          <w:color w:val="auto"/>
          <w:lang w:eastAsia="en-CA" w:bidi="he-IL"/>
        </w:rPr>
        <w:t xml:space="preserve">. Downers Grove, IL: InterVarsity, 1989. (Note: if you could only afford one book on this list, I would recommend Cotterell and Turner over the others (with a close second being Black, </w:t>
      </w:r>
      <w:r w:rsidRPr="00305278">
        <w:rPr>
          <w:rFonts w:eastAsia="Times New Roman"/>
          <w:i/>
          <w:iCs/>
          <w:color w:val="auto"/>
          <w:lang w:eastAsia="en-CA" w:bidi="he-IL"/>
        </w:rPr>
        <w:t>Linguistics for Students of New Testament Greek</w:t>
      </w:r>
      <w:r w:rsidRPr="00305278">
        <w:rPr>
          <w:rFonts w:eastAsia="Times New Roman"/>
          <w:color w:val="auto"/>
          <w:lang w:eastAsia="en-CA" w:bidi="he-IL"/>
        </w:rPr>
        <w:t>).</w:t>
      </w:r>
    </w:p>
    <w:p w14:paraId="6A9FAFDC"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Carston, Robyn. </w:t>
      </w:r>
      <w:r w:rsidRPr="00305278">
        <w:rPr>
          <w:rFonts w:eastAsia="Times New Roman"/>
          <w:i/>
          <w:iCs/>
          <w:color w:val="auto"/>
          <w:lang w:eastAsia="en-CA" w:bidi="he-IL"/>
        </w:rPr>
        <w:t>Thoughts and Utterances: The Pragmatics of Explicit Communication</w:t>
      </w:r>
      <w:r w:rsidRPr="00305278">
        <w:rPr>
          <w:rFonts w:eastAsia="Times New Roman"/>
          <w:color w:val="auto"/>
          <w:lang w:eastAsia="en-CA" w:bidi="he-IL"/>
        </w:rPr>
        <w:t>. Malden, MA: Blackwell, 2002.</w:t>
      </w:r>
    </w:p>
    <w:p w14:paraId="0B2A8BBA"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Green, Gene L. “Lexical Pragmatics and Biblical Interpretation.” </w:t>
      </w:r>
      <w:r w:rsidRPr="00305278">
        <w:rPr>
          <w:rFonts w:eastAsia="Times New Roman"/>
          <w:i/>
          <w:iCs/>
          <w:color w:val="auto"/>
          <w:lang w:eastAsia="en-CA" w:bidi="he-IL"/>
        </w:rPr>
        <w:t>Journal of the Evangelical Theological Society</w:t>
      </w:r>
      <w:r w:rsidRPr="00305278">
        <w:rPr>
          <w:rFonts w:eastAsia="Times New Roman"/>
          <w:color w:val="auto"/>
          <w:lang w:eastAsia="en-CA" w:bidi="he-IL"/>
        </w:rPr>
        <w:t xml:space="preserve"> 50 (2007): 799-812.</w:t>
      </w:r>
    </w:p>
    <w:p w14:paraId="7A3F1B42"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_______. “Lexical Pragmatics and the Lexicon.” </w:t>
      </w:r>
      <w:r w:rsidRPr="00305278">
        <w:rPr>
          <w:rFonts w:eastAsia="Times New Roman"/>
          <w:i/>
          <w:iCs/>
          <w:color w:val="auto"/>
          <w:lang w:eastAsia="en-CA" w:bidi="he-IL"/>
        </w:rPr>
        <w:t>Bulletin for Biblical Research</w:t>
      </w:r>
      <w:r w:rsidRPr="00305278">
        <w:rPr>
          <w:rFonts w:eastAsia="Times New Roman"/>
          <w:color w:val="auto"/>
          <w:lang w:eastAsia="en-CA" w:bidi="he-IL"/>
        </w:rPr>
        <w:t xml:space="preserve"> 22 (2012): 315- 333.</w:t>
      </w:r>
    </w:p>
    <w:p w14:paraId="6205B81F"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Gutt, Ernst-August. </w:t>
      </w:r>
      <w:r w:rsidRPr="00305278">
        <w:rPr>
          <w:rFonts w:eastAsia="Times New Roman"/>
          <w:i/>
          <w:iCs/>
          <w:color w:val="auto"/>
          <w:lang w:eastAsia="en-CA" w:bidi="he-IL"/>
        </w:rPr>
        <w:t>Relevance Theory: A Guide to Successful Communication in Translation</w:t>
      </w:r>
      <w:r w:rsidRPr="00305278">
        <w:rPr>
          <w:rFonts w:eastAsia="Times New Roman"/>
          <w:color w:val="auto"/>
          <w:lang w:eastAsia="en-CA" w:bidi="he-IL"/>
        </w:rPr>
        <w:t>. Dallas, TX: Summer Institute of Linguistics, 1992.</w:t>
      </w:r>
    </w:p>
    <w:p w14:paraId="107574ED"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Hirsch, E. D., Jr. </w:t>
      </w:r>
      <w:r w:rsidRPr="00305278">
        <w:rPr>
          <w:rFonts w:eastAsia="Times New Roman"/>
          <w:i/>
          <w:iCs/>
          <w:color w:val="auto"/>
          <w:lang w:eastAsia="en-CA" w:bidi="he-IL"/>
        </w:rPr>
        <w:t>Validity in Interpretation</w:t>
      </w:r>
      <w:r w:rsidRPr="00305278">
        <w:rPr>
          <w:rFonts w:eastAsia="Times New Roman"/>
          <w:color w:val="auto"/>
          <w:lang w:eastAsia="en-CA" w:bidi="he-IL"/>
        </w:rPr>
        <w:t>. New Haven: Yale University Press, 1967.</w:t>
      </w:r>
    </w:p>
    <w:p w14:paraId="05135EA6"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Lee, John A. L. </w:t>
      </w:r>
      <w:r w:rsidRPr="00305278">
        <w:rPr>
          <w:rFonts w:eastAsia="Times New Roman"/>
          <w:i/>
          <w:iCs/>
          <w:color w:val="auto"/>
          <w:lang w:eastAsia="en-CA" w:bidi="he-IL"/>
        </w:rPr>
        <w:t>A History New Testament Lexicography</w:t>
      </w:r>
      <w:r w:rsidRPr="00305278">
        <w:rPr>
          <w:rFonts w:eastAsia="Times New Roman"/>
          <w:color w:val="auto"/>
          <w:lang w:eastAsia="en-CA" w:bidi="he-IL"/>
        </w:rPr>
        <w:t>. Studies in Biblical Greek 8. New York: Lang, 2003.</w:t>
      </w:r>
    </w:p>
    <w:p w14:paraId="5322C2C5"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Leithart, Peter J.</w:t>
      </w:r>
      <w:hyperlink r:id="rId65" w:history="1">
        <w:r w:rsidRPr="00305278">
          <w:rPr>
            <w:rFonts w:eastAsia="Times New Roman"/>
            <w:color w:val="0000FF"/>
            <w:u w:val="single"/>
            <w:lang w:eastAsia="en-CA" w:bidi="he-IL"/>
          </w:rPr>
          <w:t xml:space="preserve"> </w:t>
        </w:r>
        <w:r w:rsidRPr="00305278">
          <w:rPr>
            <w:rFonts w:eastAsia="Times New Roman"/>
            <w:i/>
            <w:iCs/>
            <w:color w:val="0000FF"/>
            <w:u w:val="single"/>
            <w:lang w:eastAsia="en-CA" w:bidi="he-IL"/>
          </w:rPr>
          <w:t>Deep Exegesis: The Mystery of Reading Scripture</w:t>
        </w:r>
      </w:hyperlink>
      <w:r w:rsidRPr="00305278">
        <w:rPr>
          <w:rFonts w:eastAsia="Times New Roman"/>
          <w:color w:val="auto"/>
          <w:lang w:eastAsia="en-CA" w:bidi="he-IL"/>
        </w:rPr>
        <w:t>. Waco, TX: Baylor University Press, 2009.</w:t>
      </w:r>
    </w:p>
    <w:p w14:paraId="7796EFCE"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Lyons, John. </w:t>
      </w:r>
      <w:r w:rsidRPr="00305278">
        <w:rPr>
          <w:rFonts w:eastAsia="Times New Roman"/>
          <w:i/>
          <w:iCs/>
          <w:color w:val="auto"/>
          <w:lang w:eastAsia="en-CA" w:bidi="he-IL"/>
        </w:rPr>
        <w:t>Introduction to Theoretical Linguistics</w:t>
      </w:r>
      <w:r w:rsidRPr="00305278">
        <w:rPr>
          <w:rFonts w:eastAsia="Times New Roman"/>
          <w:color w:val="auto"/>
          <w:lang w:eastAsia="en-CA" w:bidi="he-IL"/>
        </w:rPr>
        <w:t>. Cambridge: Cambridge University Press, 1968. Warning: of all the books listed here, Lyons is easily the most technical! Approach at your own risk!</w:t>
      </w:r>
    </w:p>
    <w:p w14:paraId="747AB5C8"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color w:val="auto"/>
          <w:lang w:eastAsia="en-CA" w:bidi="he-IL"/>
        </w:rPr>
        <w:t xml:space="preserve">Silva, Moisés. </w:t>
      </w:r>
      <w:hyperlink r:id="rId66" w:history="1">
        <w:r w:rsidRPr="00305278">
          <w:rPr>
            <w:rFonts w:eastAsia="Times New Roman"/>
            <w:i/>
            <w:iCs/>
            <w:color w:val="0000FF"/>
            <w:u w:val="single"/>
            <w:lang w:eastAsia="en-CA" w:bidi="he-IL"/>
          </w:rPr>
          <w:t>Biblical Words and Their Meaning: An Introduction to Lexical Semantics</w:t>
        </w:r>
      </w:hyperlink>
      <w:r w:rsidRPr="00305278">
        <w:rPr>
          <w:rFonts w:eastAsia="Times New Roman"/>
          <w:color w:val="auto"/>
          <w:lang w:eastAsia="en-CA" w:bidi="he-IL"/>
        </w:rPr>
        <w:t>. Revised and Expanded ed. Grand Rapids, MI: Zondervan, 1994.</w:t>
      </w:r>
    </w:p>
    <w:p w14:paraId="229CB4EA" w14:textId="77777777" w:rsidR="00305278" w:rsidRPr="00305278" w:rsidRDefault="00E00D7A" w:rsidP="00305278">
      <w:pPr>
        <w:spacing w:after="0" w:line="240" w:lineRule="auto"/>
        <w:rPr>
          <w:rFonts w:eastAsia="Times New Roman"/>
          <w:color w:val="auto"/>
          <w:lang w:eastAsia="en-CA" w:bidi="he-IL"/>
        </w:rPr>
      </w:pPr>
      <w:r>
        <w:rPr>
          <w:rFonts w:eastAsia="Times New Roman"/>
          <w:noProof/>
          <w:color w:val="auto"/>
          <w:lang w:eastAsia="en-CA" w:bidi="he-IL"/>
        </w:rPr>
      </w:r>
      <w:r w:rsidR="00E00D7A">
        <w:rPr>
          <w:rFonts w:eastAsia="Times New Roman"/>
          <w:noProof/>
          <w:color w:val="auto"/>
          <w:lang w:eastAsia="en-CA" w:bidi="he-IL"/>
        </w:rPr>
        <w:pict w14:anchorId="406DC87D">
          <v:rect id="_x0000_i1025" alt="" style="width:468pt;height:.05pt;mso-width-percent:0;mso-height-percent:0;mso-width-percent:0;mso-height-percent:0" o:hralign="center" o:hrstd="t" o:hr="t" fillcolor="#a0a0a0" stroked="f"/>
        </w:pict>
      </w:r>
    </w:p>
    <w:p w14:paraId="70D54734"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noProof/>
          <w:color w:val="auto"/>
          <w:lang w:eastAsia="en-CA" w:bidi="he-IL"/>
        </w:rPr>
        <w:drawing>
          <wp:inline distT="0" distB="0" distL="0" distR="0" wp14:anchorId="029B5A00" wp14:editId="1CD869E6">
            <wp:extent cx="1426210" cy="1426210"/>
            <wp:effectExtent l="0" t="0" r="2540" b="2540"/>
            <wp:docPr id="7" name="Picture 7" descr="https://academic.logos.com/files/2017/03/0-copy-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cademic.logos.com/files/2017/03/0-copy-150x1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inline>
        </w:drawing>
      </w:r>
    </w:p>
    <w:p w14:paraId="411979B2"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r w:rsidRPr="00305278">
        <w:rPr>
          <w:rFonts w:eastAsia="Times New Roman"/>
          <w:i/>
          <w:iCs/>
          <w:color w:val="auto"/>
          <w:lang w:eastAsia="en-CA" w:bidi="he-IL"/>
        </w:rPr>
        <w:t xml:space="preserve">Paul Himes is professor of Bible and Ancient Languages at Baptist College of Ministry (Menomonee Falls, WI). He received his Ph.D. in New Testament in 2014 under Dr. David Alan Black at Southeastern Baptist Theological Seminary. He is the author of </w:t>
      </w:r>
      <w:hyperlink r:id="rId67" w:history="1">
        <w:r w:rsidRPr="00305278">
          <w:rPr>
            <w:rFonts w:eastAsia="Times New Roman"/>
            <w:color w:val="0000FF"/>
            <w:u w:val="single"/>
            <w:lang w:eastAsia="en-CA" w:bidi="he-IL"/>
          </w:rPr>
          <w:t>Foreknowledge and Social Identity in 1 Peter</w:t>
        </w:r>
      </w:hyperlink>
      <w:r w:rsidRPr="00305278">
        <w:rPr>
          <w:rFonts w:eastAsia="Times New Roman"/>
          <w:i/>
          <w:iCs/>
          <w:color w:val="auto"/>
          <w:lang w:eastAsia="en-CA" w:bidi="he-IL"/>
        </w:rPr>
        <w:t xml:space="preserve"> (Pickwick, 2014).</w:t>
      </w:r>
    </w:p>
    <w:p w14:paraId="095E7969" w14:textId="77777777" w:rsidR="00305278" w:rsidRPr="00305278" w:rsidRDefault="00305278" w:rsidP="00305278">
      <w:pPr>
        <w:spacing w:before="100" w:beforeAutospacing="1" w:after="100" w:afterAutospacing="1" w:line="240" w:lineRule="auto"/>
        <w:rPr>
          <w:rFonts w:eastAsia="Times New Roman"/>
          <w:color w:val="auto"/>
          <w:lang w:eastAsia="en-CA" w:bidi="he-IL"/>
        </w:rPr>
      </w:pPr>
    </w:p>
    <w:p w14:paraId="08645929" w14:textId="77777777" w:rsidR="00FA3D49" w:rsidRDefault="00FA3D49"/>
    <w:sectPr w:rsidR="00FA3D49" w:rsidSect="00305278">
      <w:headerReference w:type="default" r:id="rId68"/>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74A08F" w14:textId="77777777" w:rsidR="00D60832" w:rsidRDefault="00D60832" w:rsidP="00305278">
      <w:pPr>
        <w:spacing w:after="0" w:line="240" w:lineRule="auto"/>
      </w:pPr>
      <w:r>
        <w:separator/>
      </w:r>
    </w:p>
  </w:endnote>
  <w:endnote w:type="continuationSeparator" w:id="0">
    <w:p w14:paraId="6C76EBA4" w14:textId="77777777" w:rsidR="00D60832" w:rsidRDefault="00D60832" w:rsidP="00305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notTrueType/>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7CA37" w14:textId="77777777" w:rsidR="00D60832" w:rsidRDefault="00D60832" w:rsidP="00305278">
      <w:pPr>
        <w:spacing w:after="0" w:line="240" w:lineRule="auto"/>
      </w:pPr>
      <w:r>
        <w:separator/>
      </w:r>
    </w:p>
  </w:footnote>
  <w:footnote w:type="continuationSeparator" w:id="0">
    <w:p w14:paraId="5F95DC81" w14:textId="77777777" w:rsidR="00D60832" w:rsidRDefault="00D60832" w:rsidP="00305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7620030"/>
      <w:docPartObj>
        <w:docPartGallery w:val="Page Numbers (Top of Page)"/>
        <w:docPartUnique/>
      </w:docPartObj>
    </w:sdtPr>
    <w:sdtEndPr>
      <w:rPr>
        <w:noProof/>
      </w:rPr>
    </w:sdtEndPr>
    <w:sdtContent>
      <w:p w14:paraId="5064CF2C" w14:textId="77777777" w:rsidR="00305278" w:rsidRDefault="0030527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66C9FA7" w14:textId="77777777" w:rsidR="00305278" w:rsidRDefault="003052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670D67"/>
    <w:multiLevelType w:val="multilevel"/>
    <w:tmpl w:val="BBB6E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AB3257"/>
    <w:multiLevelType w:val="multilevel"/>
    <w:tmpl w:val="D3805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AFC5605"/>
    <w:multiLevelType w:val="multilevel"/>
    <w:tmpl w:val="7AB86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2624647">
    <w:abstractNumId w:val="2"/>
  </w:num>
  <w:num w:numId="2" w16cid:durableId="468596974">
    <w:abstractNumId w:val="0"/>
  </w:num>
  <w:num w:numId="3" w16cid:durableId="18495896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278"/>
    <w:rsid w:val="000F6031"/>
    <w:rsid w:val="001B1067"/>
    <w:rsid w:val="001C2CC1"/>
    <w:rsid w:val="001E7485"/>
    <w:rsid w:val="00305278"/>
    <w:rsid w:val="0035757C"/>
    <w:rsid w:val="005026DB"/>
    <w:rsid w:val="005E7DFC"/>
    <w:rsid w:val="008778D4"/>
    <w:rsid w:val="00AC6858"/>
    <w:rsid w:val="00CC3E84"/>
    <w:rsid w:val="00D60832"/>
    <w:rsid w:val="00DB67A1"/>
    <w:rsid w:val="00DD2FCD"/>
    <w:rsid w:val="00E00D7A"/>
    <w:rsid w:val="00E2045E"/>
    <w:rsid w:val="00FA3D49"/>
  </w:rsids>
  <m:mathPr>
    <m:mathFont m:val="Cambria Math"/>
    <m:brkBin m:val="before"/>
    <m:brkBinSub m:val="--"/>
    <m:smallFrac m:val="0"/>
    <m:dispDef/>
    <m:lMargin m:val="0"/>
    <m:rMargin m:val="0"/>
    <m:defJc m:val="centerGroup"/>
    <m:wrapIndent m:val="1440"/>
    <m:intLim m:val="subSup"/>
    <m:naryLim m:val="undOvr"/>
  </m:mathPr>
  <w:themeFontLang w:val="en-CA"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7DDB77F"/>
  <w15:chartTrackingRefBased/>
  <w15:docId w15:val="{5DD3F0CB-4EDD-4BBA-A2A2-B77B4C037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color w:val="000000" w:themeColor="text1"/>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05278"/>
    <w:pPr>
      <w:spacing w:before="100" w:beforeAutospacing="1" w:after="100" w:afterAutospacing="1" w:line="240" w:lineRule="auto"/>
      <w:outlineLvl w:val="0"/>
    </w:pPr>
    <w:rPr>
      <w:rFonts w:eastAsia="Times New Roman"/>
      <w:b/>
      <w:bCs/>
      <w:color w:val="auto"/>
      <w:kern w:val="36"/>
      <w:sz w:val="48"/>
      <w:szCs w:val="48"/>
      <w:lang w:eastAsia="en-CA" w:bidi="he-IL"/>
    </w:rPr>
  </w:style>
  <w:style w:type="paragraph" w:styleId="Heading2">
    <w:name w:val="heading 2"/>
    <w:basedOn w:val="Normal"/>
    <w:link w:val="Heading2Char"/>
    <w:uiPriority w:val="9"/>
    <w:qFormat/>
    <w:rsid w:val="00305278"/>
    <w:pPr>
      <w:spacing w:before="100" w:beforeAutospacing="1" w:after="100" w:afterAutospacing="1" w:line="240" w:lineRule="auto"/>
      <w:outlineLvl w:val="1"/>
    </w:pPr>
    <w:rPr>
      <w:rFonts w:eastAsia="Times New Roman"/>
      <w:b/>
      <w:bCs/>
      <w:color w:val="auto"/>
      <w:sz w:val="36"/>
      <w:szCs w:val="36"/>
      <w:lang w:eastAsia="en-CA" w:bidi="he-IL"/>
    </w:rPr>
  </w:style>
  <w:style w:type="paragraph" w:styleId="Heading3">
    <w:name w:val="heading 3"/>
    <w:basedOn w:val="Normal"/>
    <w:link w:val="Heading3Char"/>
    <w:uiPriority w:val="9"/>
    <w:qFormat/>
    <w:rsid w:val="00305278"/>
    <w:pPr>
      <w:spacing w:before="100" w:beforeAutospacing="1" w:after="100" w:afterAutospacing="1" w:line="240" w:lineRule="auto"/>
      <w:outlineLvl w:val="2"/>
    </w:pPr>
    <w:rPr>
      <w:rFonts w:eastAsia="Times New Roman"/>
      <w:b/>
      <w:bCs/>
      <w:color w:val="auto"/>
      <w:sz w:val="27"/>
      <w:szCs w:val="27"/>
      <w:lang w:eastAsia="en-CA"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5278"/>
    <w:rPr>
      <w:rFonts w:eastAsia="Times New Roman"/>
      <w:b/>
      <w:bCs/>
      <w:color w:val="auto"/>
      <w:kern w:val="36"/>
      <w:sz w:val="48"/>
      <w:szCs w:val="48"/>
      <w:lang w:eastAsia="en-CA" w:bidi="he-IL"/>
    </w:rPr>
  </w:style>
  <w:style w:type="character" w:customStyle="1" w:styleId="Heading2Char">
    <w:name w:val="Heading 2 Char"/>
    <w:basedOn w:val="DefaultParagraphFont"/>
    <w:link w:val="Heading2"/>
    <w:uiPriority w:val="9"/>
    <w:rsid w:val="00305278"/>
    <w:rPr>
      <w:rFonts w:eastAsia="Times New Roman"/>
      <w:b/>
      <w:bCs/>
      <w:color w:val="auto"/>
      <w:sz w:val="36"/>
      <w:szCs w:val="36"/>
      <w:lang w:eastAsia="en-CA" w:bidi="he-IL"/>
    </w:rPr>
  </w:style>
  <w:style w:type="character" w:customStyle="1" w:styleId="Heading3Char">
    <w:name w:val="Heading 3 Char"/>
    <w:basedOn w:val="DefaultParagraphFont"/>
    <w:link w:val="Heading3"/>
    <w:uiPriority w:val="9"/>
    <w:rsid w:val="00305278"/>
    <w:rPr>
      <w:rFonts w:eastAsia="Times New Roman"/>
      <w:b/>
      <w:bCs/>
      <w:color w:val="auto"/>
      <w:sz w:val="27"/>
      <w:szCs w:val="27"/>
      <w:lang w:eastAsia="en-CA" w:bidi="he-IL"/>
    </w:rPr>
  </w:style>
  <w:style w:type="paragraph" w:customStyle="1" w:styleId="entry-meta">
    <w:name w:val="entry-meta"/>
    <w:basedOn w:val="Normal"/>
    <w:rsid w:val="00305278"/>
    <w:pPr>
      <w:spacing w:before="100" w:beforeAutospacing="1" w:after="100" w:afterAutospacing="1" w:line="240" w:lineRule="auto"/>
    </w:pPr>
    <w:rPr>
      <w:rFonts w:eastAsia="Times New Roman"/>
      <w:color w:val="auto"/>
      <w:lang w:eastAsia="en-CA" w:bidi="he-IL"/>
    </w:rPr>
  </w:style>
  <w:style w:type="character" w:customStyle="1" w:styleId="entry-author">
    <w:name w:val="entry-author"/>
    <w:basedOn w:val="DefaultParagraphFont"/>
    <w:rsid w:val="00305278"/>
  </w:style>
  <w:style w:type="character" w:styleId="Hyperlink">
    <w:name w:val="Hyperlink"/>
    <w:basedOn w:val="DefaultParagraphFont"/>
    <w:uiPriority w:val="99"/>
    <w:semiHidden/>
    <w:unhideWhenUsed/>
    <w:rsid w:val="00305278"/>
    <w:rPr>
      <w:color w:val="0000FF"/>
      <w:u w:val="single"/>
    </w:rPr>
  </w:style>
  <w:style w:type="character" w:customStyle="1" w:styleId="entry-author-name">
    <w:name w:val="entry-author-name"/>
    <w:basedOn w:val="DefaultParagraphFont"/>
    <w:rsid w:val="00305278"/>
  </w:style>
  <w:style w:type="character" w:customStyle="1" w:styleId="entry-comments-link">
    <w:name w:val="entry-comments-link"/>
    <w:basedOn w:val="DefaultParagraphFont"/>
    <w:rsid w:val="00305278"/>
  </w:style>
  <w:style w:type="paragraph" w:styleId="NormalWeb">
    <w:name w:val="Normal (Web)"/>
    <w:basedOn w:val="Normal"/>
    <w:uiPriority w:val="99"/>
    <w:semiHidden/>
    <w:unhideWhenUsed/>
    <w:rsid w:val="00305278"/>
    <w:pPr>
      <w:spacing w:before="100" w:beforeAutospacing="1" w:after="100" w:afterAutospacing="1" w:line="240" w:lineRule="auto"/>
    </w:pPr>
    <w:rPr>
      <w:rFonts w:eastAsia="Times New Roman"/>
      <w:color w:val="auto"/>
      <w:lang w:eastAsia="en-CA" w:bidi="he-IL"/>
    </w:rPr>
  </w:style>
  <w:style w:type="character" w:styleId="Emphasis">
    <w:name w:val="Emphasis"/>
    <w:basedOn w:val="DefaultParagraphFont"/>
    <w:uiPriority w:val="20"/>
    <w:qFormat/>
    <w:rsid w:val="00305278"/>
    <w:rPr>
      <w:i/>
      <w:iCs/>
    </w:rPr>
  </w:style>
  <w:style w:type="paragraph" w:customStyle="1" w:styleId="wp-caption-text">
    <w:name w:val="wp-caption-text"/>
    <w:basedOn w:val="Normal"/>
    <w:rsid w:val="00305278"/>
    <w:pPr>
      <w:spacing w:before="100" w:beforeAutospacing="1" w:after="100" w:afterAutospacing="1" w:line="240" w:lineRule="auto"/>
    </w:pPr>
    <w:rPr>
      <w:rFonts w:eastAsia="Times New Roman"/>
      <w:color w:val="auto"/>
      <w:lang w:eastAsia="en-CA" w:bidi="he-IL"/>
    </w:rPr>
  </w:style>
  <w:style w:type="paragraph" w:styleId="Header">
    <w:name w:val="header"/>
    <w:basedOn w:val="Normal"/>
    <w:link w:val="HeaderChar"/>
    <w:uiPriority w:val="99"/>
    <w:unhideWhenUsed/>
    <w:rsid w:val="003052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278"/>
  </w:style>
  <w:style w:type="paragraph" w:styleId="Footer">
    <w:name w:val="footer"/>
    <w:basedOn w:val="Normal"/>
    <w:link w:val="FooterChar"/>
    <w:uiPriority w:val="99"/>
    <w:unhideWhenUsed/>
    <w:rsid w:val="003052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278"/>
  </w:style>
  <w:style w:type="character" w:customStyle="1" w:styleId="easy-footnote">
    <w:name w:val="easy-footnote"/>
    <w:basedOn w:val="DefaultParagraphFont"/>
    <w:rsid w:val="003052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144991">
      <w:bodyDiv w:val="1"/>
      <w:marLeft w:val="0"/>
      <w:marRight w:val="0"/>
      <w:marTop w:val="0"/>
      <w:marBottom w:val="0"/>
      <w:divBdr>
        <w:top w:val="none" w:sz="0" w:space="0" w:color="auto"/>
        <w:left w:val="none" w:sz="0" w:space="0" w:color="auto"/>
        <w:bottom w:val="none" w:sz="0" w:space="0" w:color="auto"/>
        <w:right w:val="none" w:sz="0" w:space="0" w:color="auto"/>
      </w:divBdr>
      <w:divsChild>
        <w:div w:id="745495612">
          <w:marLeft w:val="0"/>
          <w:marRight w:val="0"/>
          <w:marTop w:val="0"/>
          <w:marBottom w:val="0"/>
          <w:divBdr>
            <w:top w:val="none" w:sz="0" w:space="0" w:color="auto"/>
            <w:left w:val="none" w:sz="0" w:space="0" w:color="auto"/>
            <w:bottom w:val="none" w:sz="0" w:space="0" w:color="auto"/>
            <w:right w:val="none" w:sz="0" w:space="0" w:color="auto"/>
          </w:divBdr>
          <w:divsChild>
            <w:div w:id="2129424249">
              <w:blockQuote w:val="1"/>
              <w:marLeft w:val="720"/>
              <w:marRight w:val="720"/>
              <w:marTop w:val="100"/>
              <w:marBottom w:val="100"/>
              <w:divBdr>
                <w:top w:val="none" w:sz="0" w:space="0" w:color="auto"/>
                <w:left w:val="none" w:sz="0" w:space="0" w:color="auto"/>
                <w:bottom w:val="none" w:sz="0" w:space="0" w:color="auto"/>
                <w:right w:val="none" w:sz="0" w:space="0" w:color="auto"/>
              </w:divBdr>
            </w:div>
            <w:div w:id="584455079">
              <w:marLeft w:val="0"/>
              <w:marRight w:val="0"/>
              <w:marTop w:val="0"/>
              <w:marBottom w:val="0"/>
              <w:divBdr>
                <w:top w:val="none" w:sz="0" w:space="0" w:color="auto"/>
                <w:left w:val="none" w:sz="0" w:space="0" w:color="auto"/>
                <w:bottom w:val="none" w:sz="0" w:space="0" w:color="auto"/>
                <w:right w:val="none" w:sz="0" w:space="0" w:color="auto"/>
              </w:divBdr>
            </w:div>
            <w:div w:id="180283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9850">
      <w:bodyDiv w:val="1"/>
      <w:marLeft w:val="0"/>
      <w:marRight w:val="0"/>
      <w:marTop w:val="0"/>
      <w:marBottom w:val="0"/>
      <w:divBdr>
        <w:top w:val="none" w:sz="0" w:space="0" w:color="auto"/>
        <w:left w:val="none" w:sz="0" w:space="0" w:color="auto"/>
        <w:bottom w:val="none" w:sz="0" w:space="0" w:color="auto"/>
        <w:right w:val="none" w:sz="0" w:space="0" w:color="auto"/>
      </w:divBdr>
      <w:divsChild>
        <w:div w:id="2006668594">
          <w:marLeft w:val="0"/>
          <w:marRight w:val="0"/>
          <w:marTop w:val="0"/>
          <w:marBottom w:val="0"/>
          <w:divBdr>
            <w:top w:val="none" w:sz="0" w:space="0" w:color="auto"/>
            <w:left w:val="none" w:sz="0" w:space="0" w:color="auto"/>
            <w:bottom w:val="none" w:sz="0" w:space="0" w:color="auto"/>
            <w:right w:val="none" w:sz="0" w:space="0" w:color="auto"/>
          </w:divBdr>
          <w:divsChild>
            <w:div w:id="5216307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31904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ogos.com/product/42780/linguistics-for-students-of-new-testament-greek-a-survey-of-basic-concepts-and-applications?utm_source=academic.logos.com&amp;utm_medium=blog&amp;utm_content=2017-03-10-himes-meaning-part1&amp;utm_campaign=promo-logospro2017" TargetMode="External"/><Relationship Id="rId21" Type="http://schemas.openxmlformats.org/officeDocument/2006/relationships/image" Target="media/image5.png"/><Relationship Id="rId42" Type="http://schemas.openxmlformats.org/officeDocument/2006/relationships/hyperlink" Target="https://academic.logos.com/the-meaning-of-words-part-2-context-and-semantic-range/" TargetMode="External"/><Relationship Id="rId47" Type="http://schemas.openxmlformats.org/officeDocument/2006/relationships/image" Target="media/image11.jpeg"/><Relationship Id="rId63" Type="http://schemas.openxmlformats.org/officeDocument/2006/relationships/hyperlink" Target="https://www.logos.com/product/42780/linguistics-for-students-of-new-testament-greek-a-survey-of-basic-concepts-and-applications?utm_source=academic.logos.com&amp;utm_medium=blog&amp;utm_content=2017-03-31-meaning-of-words-part2&amp;utm_campaign=promo-logospro2017" TargetMode="External"/><Relationship Id="rId68"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ogos.com/logos-pro/sense-section" TargetMode="External"/><Relationship Id="rId29" Type="http://schemas.openxmlformats.org/officeDocument/2006/relationships/hyperlink" Target="https://academic.logos.com/the-meaning-of-words-part-2-context-and-semantic-range/" TargetMode="External"/><Relationship Id="rId11" Type="http://schemas.openxmlformats.org/officeDocument/2006/relationships/image" Target="media/image2.jpeg"/><Relationship Id="rId24" Type="http://schemas.openxmlformats.org/officeDocument/2006/relationships/image" Target="media/image6.jpeg"/><Relationship Id="rId32" Type="http://schemas.openxmlformats.org/officeDocument/2006/relationships/hyperlink" Target="https://academic.logos.com/the-meaning-of-words-part-1-words-and-concepts/" TargetMode="External"/><Relationship Id="rId37" Type="http://schemas.openxmlformats.org/officeDocument/2006/relationships/hyperlink" Target="https://academic.logos.com/the-meaning-of-words-part-2-context-and-semantic-range/" TargetMode="External"/><Relationship Id="rId40" Type="http://schemas.openxmlformats.org/officeDocument/2006/relationships/hyperlink" Target="https://www.logos.com/product/42780/linguistics-for-students-of-new-testament-greek-a-survey-of-basic-concepts-and-applications?utm_source=academic.logos.com&amp;utm_medium=blog&amp;utm_content=2017-03-31-meaning-of-words-part2&amp;utm_campaign=promo-logospro2017" TargetMode="External"/><Relationship Id="rId45" Type="http://schemas.openxmlformats.org/officeDocument/2006/relationships/image" Target="media/image10.jpeg"/><Relationship Id="rId53" Type="http://schemas.openxmlformats.org/officeDocument/2006/relationships/hyperlink" Target="https://academic.logos.com/the-meaning-of-words-part-2-context-and-semantic-range/" TargetMode="External"/><Relationship Id="rId58" Type="http://schemas.openxmlformats.org/officeDocument/2006/relationships/hyperlink" Target="https://academic.logos.com/the-meaning-of-words-part-2-context-and-semantic-range/" TargetMode="External"/><Relationship Id="rId66" Type="http://schemas.openxmlformats.org/officeDocument/2006/relationships/hyperlink" Target="https://www.logos.com/product/41551/biblical-words-and-their-meaning-2nd-ed?utm_source=academic.logos.com&amp;utm_medium=blog&amp;utm_content=2017-03-31-meaning-of-words-part2&amp;utm_campaign=promo-logospro2017" TargetMode="External"/><Relationship Id="rId5" Type="http://schemas.openxmlformats.org/officeDocument/2006/relationships/webSettings" Target="webSettings.xml"/><Relationship Id="rId61" Type="http://schemas.openxmlformats.org/officeDocument/2006/relationships/hyperlink" Target="https://academic.logos.com/the-meaning-of-words-part-2-context-and-semantic-range/" TargetMode="External"/><Relationship Id="rId19" Type="http://schemas.openxmlformats.org/officeDocument/2006/relationships/image" Target="media/image4.png"/><Relationship Id="rId14" Type="http://schemas.openxmlformats.org/officeDocument/2006/relationships/hyperlink" Target="https://www.logos.com/product/8491/theological-dictionary-of-the-new-testament?utm_source=academic.logos.com&amp;utm_medium=blog&amp;utm_content=2017-03-10-himes-meaning-part1&amp;utm_campaign=promo-logospro2017" TargetMode="External"/><Relationship Id="rId22" Type="http://schemas.openxmlformats.org/officeDocument/2006/relationships/hyperlink" Target="https://biblia.com/bible/esv/John%2016.27" TargetMode="External"/><Relationship Id="rId27" Type="http://schemas.openxmlformats.org/officeDocument/2006/relationships/hyperlink" Target="https://www.logos.com/product/43191/millard-j-erickson-collection" TargetMode="External"/><Relationship Id="rId30" Type="http://schemas.openxmlformats.org/officeDocument/2006/relationships/image" Target="media/image7.jpeg"/><Relationship Id="rId35" Type="http://schemas.openxmlformats.org/officeDocument/2006/relationships/hyperlink" Target="https://academic.logos.com/the-meaning-of-words-part-2-context-and-semantic-range/" TargetMode="External"/><Relationship Id="rId43" Type="http://schemas.openxmlformats.org/officeDocument/2006/relationships/hyperlink" Target="https://www.logos.com/product/30089/deep-exegesis-the-mystery-of-reading-scripture?utm_source=academic.logos.com&amp;utm_medium=blog&amp;utm_content=2017-03-31-meaning-of-words-part2&amp;utm_campaign=promo-logospro2017" TargetMode="External"/><Relationship Id="rId48" Type="http://schemas.openxmlformats.org/officeDocument/2006/relationships/hyperlink" Target="https://biblia.com/bible/esv/Rom%203.25" TargetMode="External"/><Relationship Id="rId56" Type="http://schemas.openxmlformats.org/officeDocument/2006/relationships/hyperlink" Target="https://academic.logos.com/the-meaning-of-words-part-2-context-and-semantic-range/" TargetMode="External"/><Relationship Id="rId64" Type="http://schemas.openxmlformats.org/officeDocument/2006/relationships/hyperlink" Target="https://www.logos.com/product/6874/exegetical-fallacies-second-edition?utm_source=academic.logos.com&amp;utm_medium=blog&amp;utm_content=2017-03-31-meaning-of-words-part2&amp;utm_campaign=promo-logospro2017" TargetMode="External"/><Relationship Id="rId69" Type="http://schemas.openxmlformats.org/officeDocument/2006/relationships/fontTable" Target="fontTable.xml"/><Relationship Id="rId8" Type="http://schemas.openxmlformats.org/officeDocument/2006/relationships/hyperlink" Target="https://academic.logos.com/author/paulhimes/" TargetMode="External"/><Relationship Id="rId51" Type="http://schemas.openxmlformats.org/officeDocument/2006/relationships/hyperlink" Target="https://academic.logos.com/the-meaning-of-words-part-2-context-and-semantic-range/" TargetMode="External"/><Relationship Id="rId3" Type="http://schemas.openxmlformats.org/officeDocument/2006/relationships/styles" Target="styles.xml"/><Relationship Id="rId12" Type="http://schemas.openxmlformats.org/officeDocument/2006/relationships/hyperlink" Target="https://biblia.com/bible/esv/2%20Cor%209.7" TargetMode="External"/><Relationship Id="rId17" Type="http://schemas.openxmlformats.org/officeDocument/2006/relationships/image" Target="media/image3.png"/><Relationship Id="rId25" Type="http://schemas.openxmlformats.org/officeDocument/2006/relationships/hyperlink" Target="http://www.amazon.com/dp/B00OU6YCBS?tag=3755-20" TargetMode="External"/><Relationship Id="rId33" Type="http://schemas.openxmlformats.org/officeDocument/2006/relationships/hyperlink" Target="https://academic.logos.com/the-meaning-of-words-part-2-context-and-semantic-range/" TargetMode="External"/><Relationship Id="rId38" Type="http://schemas.openxmlformats.org/officeDocument/2006/relationships/hyperlink" Target="https://www.logos.com/products/search?q=daniel+wallace&amp;Author=2951%7cDaniel+B.+Wallace&amp;redirecttoauthor=true?utm_source=academic.logos.com&amp;utm_medium=blog&amp;utm_content=2017-03-31-meaning-of-words-part2&amp;utm_campaign=promo-logospro2017" TargetMode="External"/><Relationship Id="rId46" Type="http://schemas.openxmlformats.org/officeDocument/2006/relationships/hyperlink" Target="https://academic.logos.com/the-meaning-of-words-part-2-context-and-semantic-range/" TargetMode="External"/><Relationship Id="rId59" Type="http://schemas.openxmlformats.org/officeDocument/2006/relationships/hyperlink" Target="https://academic.logos.com/the-meaning-of-words-part-2-context-and-semantic-range/" TargetMode="External"/><Relationship Id="rId67" Type="http://schemas.openxmlformats.org/officeDocument/2006/relationships/hyperlink" Target="http://www.amazon.com/dp/B00OU6YCBS?tag=3755-20" TargetMode="External"/><Relationship Id="rId20" Type="http://schemas.openxmlformats.org/officeDocument/2006/relationships/hyperlink" Target="https://academic.logos.com/files/2017/03/image00-1-e1489005941973.png" TargetMode="External"/><Relationship Id="rId41" Type="http://schemas.openxmlformats.org/officeDocument/2006/relationships/image" Target="media/image9.jpeg"/><Relationship Id="rId54" Type="http://schemas.openxmlformats.org/officeDocument/2006/relationships/hyperlink" Target="https://academic.logos.com/the-meaning-of-words-part-2-context-and-semantic-range/" TargetMode="External"/><Relationship Id="rId62" Type="http://schemas.openxmlformats.org/officeDocument/2006/relationships/hyperlink" Target="https://www.logos.com/product/47470/james-barr-collection?utm_source=academic.logos.com&amp;utm_medium=blog&amp;utm_content=2017-03-31-meaning-of-words-part2&amp;utm_campaign=promo-logospro2017"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ogos.com/product/47470/james-barr-collection?utm_source=academic.logos.com&amp;utm_medium=blog&amp;utm_content=2017-03-10-himes-meaning-part1&amp;utm_campaign=promo-logospro2017" TargetMode="External"/><Relationship Id="rId23" Type="http://schemas.openxmlformats.org/officeDocument/2006/relationships/hyperlink" Target="https://academic.logos.com/files/2017/03/0-copy.jpg" TargetMode="External"/><Relationship Id="rId28" Type="http://schemas.openxmlformats.org/officeDocument/2006/relationships/hyperlink" Target="https://academic.logos.com/author/paulhimes/" TargetMode="External"/><Relationship Id="rId36" Type="http://schemas.openxmlformats.org/officeDocument/2006/relationships/image" Target="media/image8.jpeg"/><Relationship Id="rId49" Type="http://schemas.openxmlformats.org/officeDocument/2006/relationships/hyperlink" Target="https://biblia.com/bible/esv/Heb%209.5" TargetMode="External"/><Relationship Id="rId57" Type="http://schemas.openxmlformats.org/officeDocument/2006/relationships/hyperlink" Target="https://academic.logos.com/the-meaning-of-words-part-2-context-and-semantic-range/" TargetMode="External"/><Relationship Id="rId10" Type="http://schemas.openxmlformats.org/officeDocument/2006/relationships/image" Target="media/image1.jpeg"/><Relationship Id="rId31" Type="http://schemas.openxmlformats.org/officeDocument/2006/relationships/hyperlink" Target="https://academic.logos.com/the-meaning-of-words-part-2-context-and-semantic-range/" TargetMode="External"/><Relationship Id="rId44" Type="http://schemas.openxmlformats.org/officeDocument/2006/relationships/hyperlink" Target="https://academic.logos.com/the-meaning-of-words-part-2-context-and-semantic-range/" TargetMode="External"/><Relationship Id="rId52" Type="http://schemas.openxmlformats.org/officeDocument/2006/relationships/hyperlink" Target="https://academic.logos.com/the-meaning-of-words-part-2-context-and-semantic-range/" TargetMode="External"/><Relationship Id="rId60" Type="http://schemas.openxmlformats.org/officeDocument/2006/relationships/hyperlink" Target="https://academic.logos.com/the-meaning-of-words-part-2-context-and-semantic-range/" TargetMode="External"/><Relationship Id="rId65" Type="http://schemas.openxmlformats.org/officeDocument/2006/relationships/hyperlink" Target="https://www.logos.com/product/30089/deep-exegesis-the-mystery-of-reading-scripture?utm_source=academic.logos.com&amp;utm_medium=blog&amp;utm_content=2017-03-31-meaning-of-words-part2&amp;utm_campaign=promo-logospro2017" TargetMode="External"/><Relationship Id="rId4" Type="http://schemas.openxmlformats.org/officeDocument/2006/relationships/settings" Target="settings.xml"/><Relationship Id="rId9" Type="http://schemas.openxmlformats.org/officeDocument/2006/relationships/hyperlink" Target="https://academic.logos.com/the-meaning-of-words-part-1-words-and-concepts/" TargetMode="External"/><Relationship Id="rId13" Type="http://schemas.openxmlformats.org/officeDocument/2006/relationships/hyperlink" Target="https://www.logos.com/product/6874/exegetical-fallacies-second-edition?utm_source=academic.logos.com&amp;utm_medium=blog&amp;utm_content=2017-03-10-himes-meaning-part1&amp;utm_campaign=promo-logospro2017" TargetMode="External"/><Relationship Id="rId18" Type="http://schemas.openxmlformats.org/officeDocument/2006/relationships/hyperlink" Target="https://www.logos.com/logos-pro/cultural-concepts?utm_source=academic.logos.com&amp;utm_medium=blog&amp;utm_content=2017-03-10-himes-meaning-part1&amp;utm_campaign=promo-logospro2017" TargetMode="External"/><Relationship Id="rId39" Type="http://schemas.openxmlformats.org/officeDocument/2006/relationships/hyperlink" Target="https://academic.logos.com/the-meaning-of-words-part-2-context-and-semantic-range/" TargetMode="External"/><Relationship Id="rId34" Type="http://schemas.openxmlformats.org/officeDocument/2006/relationships/hyperlink" Target="https://academic.logos.com/the-meaning-of-words-part-2-context-and-semantic-range/" TargetMode="External"/><Relationship Id="rId50" Type="http://schemas.openxmlformats.org/officeDocument/2006/relationships/hyperlink" Target="https://academic.logos.com/the-meaning-of-words-part-2-context-and-semantic-range/" TargetMode="External"/><Relationship Id="rId55" Type="http://schemas.openxmlformats.org/officeDocument/2006/relationships/hyperlink" Target="https://academic.logos.com/the-meaning-of-words-part-2-context-and-semantic-ran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5B223-536F-4B4F-86A7-3B1C98C5D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25</Pages>
  <Words>5234</Words>
  <Characters>29836</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Brewer</dc:creator>
  <cp:keywords/>
  <dc:description/>
  <cp:lastModifiedBy>Rick Griffith</cp:lastModifiedBy>
  <cp:revision>2</cp:revision>
  <dcterms:created xsi:type="dcterms:W3CDTF">2018-06-08T12:48:00Z</dcterms:created>
  <dcterms:modified xsi:type="dcterms:W3CDTF">2025-08-12T13:58:00Z</dcterms:modified>
</cp:coreProperties>
</file>