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26ADD">
      <w:pPr>
        <w:pStyle w:val="Heading1"/>
        <w:rPr>
          <w:rtl/>
        </w:rPr>
      </w:pPr>
      <w:r>
        <w:rPr>
          <w:rtl/>
        </w:rPr>
        <w:t>رسالة فيلمون</w:t>
      </w:r>
    </w:p>
    <w:p w:rsidR="00000000" w:rsidRDefault="00826ADD">
      <w:pPr>
        <w:pStyle w:val="Heading2"/>
        <w:rPr>
          <w:rtl/>
        </w:rPr>
      </w:pPr>
      <w:r>
        <w:rPr>
          <w:rtl/>
        </w:rPr>
        <w:t>المقدّمة</w:t>
      </w:r>
    </w:p>
    <w:p w:rsidR="00000000" w:rsidRDefault="00826ADD">
      <w:pPr>
        <w:pStyle w:val="Heading3"/>
        <w:rPr>
          <w:rtl/>
        </w:rPr>
      </w:pPr>
      <w:r>
        <w:rPr>
          <w:rtl/>
        </w:rPr>
        <w:t>1- تأليف الرسالة</w:t>
      </w:r>
    </w:p>
    <w:p w:rsidR="00000000" w:rsidRDefault="00826ADD">
      <w:pPr>
        <w:pStyle w:val="1"/>
        <w:rPr>
          <w:rtl/>
        </w:rPr>
      </w:pPr>
      <w:r>
        <w:rPr>
          <w:rtl/>
        </w:rPr>
        <w:t>تشهد الأدلّة الخارجيّة بقوّة لحقيقة كتابة بولس لهذه الرسالة. فأغناطيوس أحد آباء الكنيسة الرسوليّة ألمح إلى أنّ الرسالة كتابة بولس الرسول. كذلك فعل يوسابيوس وجيروم وأوغسطين. هذا وقد نُسبت الرسالة إلى القدّيس بولس في كل</w:t>
      </w:r>
      <w:r>
        <w:rPr>
          <w:rtl/>
        </w:rPr>
        <w:t>ّ من القانون الماركيوني والموراتوري والقانون الرسولي وقانون أثناسيوس. أمّا الأدلّة الداخليّة فتشهد أيضاً لمصداقيّة كتابة بولس لهذه الرسالة. فهي تشير صراحة في محتواها إلى هويّة مؤلّفها (الأعداد 1، 9، 19). كما أن أسلوب الرسالة ولغتها ينطبقان مع أدب الرسول بولس.</w:t>
      </w:r>
      <w:r>
        <w:rPr>
          <w:rStyle w:val="FootnoteReference"/>
          <w:rtl/>
        </w:rPr>
        <w:footnoteReference w:id="1"/>
      </w:r>
      <w:r>
        <w:rPr>
          <w:rtl/>
        </w:rPr>
        <w:t xml:space="preserve"> علاوة على ذلك نرى ارتباطاً وثيقاً بين هذه الرسالة ورسالة كولوسي، فأرخبّس وأبفراس وأرسترخس وديماس ولوقا ترد أسماؤهم في كلا الرسالتين (أنظركو 7:1: 10:4، 14، 17؛ فيل 2، 23، 24). ومع ذلك فإنّ بعض الشرّاح العصريّين شكّكوا بصحّة كتابة بولس لها، لكنّ تشكيكهم</w:t>
      </w:r>
      <w:r>
        <w:rPr>
          <w:rtl/>
        </w:rPr>
        <w:t xml:space="preserve"> ليس قائماً على أيّة أدلّة واقعيّة بل بالحري على المنحى المتحرّر للمنهج العلمي الذي يتّبعونه. لذا نستطيع القول بأنّ جميع الدلائل تشير إلى أنّ الرسول بولس هو الذي كتب هذه الرسالة إلى فيلمون.</w:t>
      </w:r>
    </w:p>
    <w:p w:rsidR="00000000" w:rsidRDefault="00826ADD">
      <w:pPr>
        <w:pStyle w:val="Heading3"/>
        <w:rPr>
          <w:rtl/>
        </w:rPr>
      </w:pPr>
      <w:r>
        <w:rPr>
          <w:rtl/>
        </w:rPr>
        <w:t>2- تأريخ الرسالة وظروف كتابتها</w:t>
      </w:r>
    </w:p>
    <w:p w:rsidR="00000000" w:rsidRDefault="00826ADD">
      <w:pPr>
        <w:pStyle w:val="1"/>
        <w:rPr>
          <w:rtl/>
        </w:rPr>
      </w:pPr>
      <w:r>
        <w:rPr>
          <w:rtl/>
        </w:rPr>
        <w:t>يتّضح من الآيات 1 و 9 أنّ بولس كان سجيناً عند كتابته لهذه الرسالة. وبناءً على التشابه القائم بين رسالة فيلمون ورسائل السجن التي كتبها بولس (أي أفسس وفيلبي وكولوسي) يرجّح أن تكون هذه الرسالة قد كُتبت خلال فترة سجن الرسول بولس الأوّل في مدينة رومية حوالي 61-63م. أمّا بالنسبة لظروف الكتابة فال</w:t>
      </w:r>
      <w:r>
        <w:rPr>
          <w:rtl/>
        </w:rPr>
        <w:t>واضح أنّ الرسالة هي رسالة توسّط لدى فيلمون لقبول أونسيمس الراجع إليه. فأونسيمس كان يعمل كعبد عند سيّده المؤمن فيلمون لكنّه سلبه على الأرجح وهرب إلى رومية. وشاءت العناية الإلهيّة أن يلتقي أونسيمس ببولس الرسول الذي كان وقتها في السجن. ومن ثمّ اهتمّ بولس بإيصال البشارة كاملة إلى أونسيمس الذي آمن بالربّ يسوع المسيح وخدم بولس لاحقاً (10-13). إلاّ أنّ بولس لم يشأ أن يحتفظ بأونسيمس بل أعاده إلى سيّده فيليمون في مدينة كولوسي حسب القانون الروماني وتقاليد العلاقات الأخويّة المسيحيّة. وقد أرسل معه رسالة يتوسّط فيها لد</w:t>
      </w:r>
      <w:r>
        <w:rPr>
          <w:rtl/>
        </w:rPr>
        <w:t>ى فيلمون من جهة خادمه لكي يقبله كأخ في الربّ (10، 16)، وربّما  وهو يرجو أن يُرجع فيلمون أونسيمس إليه ليخدمه في السجن (21).</w:t>
      </w:r>
    </w:p>
    <w:p w:rsidR="00000000" w:rsidRDefault="00826ADD">
      <w:pPr>
        <w:pStyle w:val="Heading3"/>
        <w:rPr>
          <w:rtl/>
        </w:rPr>
      </w:pPr>
      <w:r>
        <w:rPr>
          <w:rtl/>
        </w:rPr>
        <w:t>3- وجهة الرسالة</w:t>
      </w:r>
    </w:p>
    <w:p w:rsidR="00000000" w:rsidRDefault="00826ADD">
      <w:pPr>
        <w:pStyle w:val="1"/>
        <w:rPr>
          <w:rtl/>
        </w:rPr>
      </w:pPr>
      <w:r>
        <w:rPr>
          <w:rtl/>
        </w:rPr>
        <w:t xml:space="preserve">يوجّه بولس رسالته بشكل رئيسي إلى فيلمون. والرجل على ما يظهر ثريٌّ من سكّان مدينة كولوسّي (راجع كو 9:4).  ويظهر ثراؤه في أنّه كان يقتني عبيداً وفي اتّساع بيته إذ كانت الكنيسة تجتمع فيه (فيل 2). ويبدو أنّ فيلمون هو أحد الأشخاص الذين آمنوا عن طريق بولس الرسول (راجع فيل 19)، على أنّنا لا نعلم متى وأين قابل بولس فيلمون لكن يُرجّح أن يكون فيلمون سمع البشارة أثناء وجود </w:t>
      </w:r>
      <w:r>
        <w:rPr>
          <w:rtl/>
        </w:rPr>
        <w:lastRenderedPageBreak/>
        <w:t>الرسول ف</w:t>
      </w:r>
      <w:r>
        <w:rPr>
          <w:rtl/>
        </w:rPr>
        <w:t>ي أفسس حيث صرف ثلاث سنين في التعليم والتبشير (راجع أعمال 19). كما يُرجّح أن تكون أبفيّة زوجة فيلمون وأرخبّس ابنه (فيل 2).</w:t>
      </w:r>
    </w:p>
    <w:p w:rsidR="00000000" w:rsidRDefault="00826ADD">
      <w:pPr>
        <w:pStyle w:val="1"/>
        <w:rPr>
          <w:rtl/>
        </w:rPr>
      </w:pPr>
      <w:r>
        <w:rPr>
          <w:rtl/>
        </w:rPr>
        <w:t>إلاّ أنّ الرسالة موجّهة أيضاً إلى" الكنيسة التي في بيتك" (الآية 2) رغم كونها موجّهة بشكل رئيسي إلى فيلمون. وهكذا فإنّ بولس يتوسّط من أجل أونسيمس ليس أمام فيلمون فقط بل أمام الكنيسة كلّها. ويرى البعض في العبارات المختلفة التي استخدمها بولس للاشارة إلى خدمة كلّ من فيلمون وأرخبّس تمييزاً في نوع الخدمة التي كانت لكلّ واحد منهما. ففيلمون هو "العامل معنا" وأرخبّس هو "المتجنّد معنا" (الآيات 1 و</w:t>
      </w:r>
      <w:r>
        <w:rPr>
          <w:rtl/>
        </w:rPr>
        <w:t xml:space="preserve"> 2). ففيما قد يكون فيلمون شيخاً في الكنيسة احتفظ بعمله الدنيوي إلى جانب الخدمة ربّما كان أرخبّس تجنّد كاملاً لخدمة المسيح وترك "أعمال الحياة" (راجع 1 تي 4:2) مكرّساً نفسه للخدمة المتجوّلة الإرساليّة والرعاية أيضاً في الكنيسة حيث هو أيضاً.</w:t>
      </w:r>
      <w:r>
        <w:rPr>
          <w:rStyle w:val="FootnoteReference"/>
          <w:rtl/>
        </w:rPr>
        <w:footnoteReference w:id="2"/>
      </w:r>
    </w:p>
    <w:p w:rsidR="00000000" w:rsidRDefault="00826ADD">
      <w:pPr>
        <w:pStyle w:val="Heading3"/>
        <w:rPr>
          <w:rtl/>
        </w:rPr>
      </w:pPr>
      <w:r>
        <w:rPr>
          <w:rtl/>
        </w:rPr>
        <w:t>4- رسالة فيلمون ومسألة استخدام العبيد</w:t>
      </w:r>
      <w:r>
        <w:rPr>
          <w:rStyle w:val="FootnoteReference"/>
          <w:rtl/>
        </w:rPr>
        <w:footnoteReference w:id="3"/>
      </w:r>
    </w:p>
    <w:p w:rsidR="00000000" w:rsidRDefault="00826ADD">
      <w:pPr>
        <w:pStyle w:val="1"/>
        <w:rPr>
          <w:rtl/>
        </w:rPr>
      </w:pPr>
      <w:r>
        <w:rPr>
          <w:rtl/>
        </w:rPr>
        <w:t>كان استخدام العبيد في القرن الأوّل الميلادي أمراً اعتياديّاً. ورغم اختلاف النظم المتعلّقة بالعبيد في كلّ من المجتمعات اليهوديّة والرومانيّة واليونانيّة فقد كانت هذه الظاهرة معروفة ومقبولة في تلك المجتمعات. وفيما كان العبيد في المجتمع</w:t>
      </w:r>
      <w:r>
        <w:rPr>
          <w:rtl/>
        </w:rPr>
        <w:t xml:space="preserve"> اليهودي محميّين بموجب الشريعة الإلهيّة لم يكن بالمقابل يوجد قانون يحمي العبيد من الظلم والتعسّف في المجتمعات غير اليهوديّة. فالحضارة اليونانيّة كانت قائمة على نظام الاستعباد. وكان العبيد اليونانيّون يُستخدمون في الأعمال الصناعيّة ويعملون في المناجم في ظروف قاسية جدّاً.  أمّا بالنسبة للعبيد الرومان، فمع أنّهم كانوا يُعتبرون مُلكاً شرعيّاً لسيّدهم، إلاّ أنّه كان بإمكانهم بحسب القانون أن يحصلوا لاحقاً على حريّتهم الكاملة. وكان العبيد الرومان يُستخدمون في البيوت والمزارع ولم يكن لهم حقّ التزوّج والتملّك. أمّا </w:t>
      </w:r>
      <w:r>
        <w:rPr>
          <w:rtl/>
        </w:rPr>
        <w:t xml:space="preserve">الأولاد الذين كانوا يولدون لهم بطريقة غير شرعيّة فكانوا ملكاً شرعيّاً للسيّد. </w:t>
      </w:r>
    </w:p>
    <w:p w:rsidR="00000000" w:rsidRDefault="00826ADD">
      <w:pPr>
        <w:pStyle w:val="1"/>
        <w:rPr>
          <w:rtl/>
        </w:rPr>
      </w:pPr>
      <w:r>
        <w:rPr>
          <w:rtl/>
        </w:rPr>
        <w:t>أمّا مصادر الاستعباد الرئيسيّة فكانت كما يلي: 1- بالولادة، أي أن يولد الانسان لامرأة تحت العبوديّة؛ 2- عن طريق عرض الأولاد غير المرغوب فيهم والذين يمكن لأي واحد أن يطالب بهم؛ 3- عن طريق بيع إنسان لأولاده في سوق العبوديّة؛ 4- عن طريق العبوديّة الطوعيّة من أجل دفع الديون الشخصيّة؛ 5- بالمعاقبة على جرم معيّن بالعبوديّة؛ 6- عن طريق الخطف وتجارة الرقيق؛ 7- بالمعارك الحربيّة مع ما كان يرافقها من سبي بشري. هذا وقد كان تجّار العبيد يرافق</w:t>
      </w:r>
      <w:r>
        <w:rPr>
          <w:rtl/>
        </w:rPr>
        <w:t>ون باستمرار الحملات العسكريّة لشراء الأسرى وإرسالهم إلى سوق العبيد لبيعهم بأسعار عالية.</w:t>
      </w:r>
    </w:p>
    <w:p w:rsidR="00000000" w:rsidRDefault="00826ADD">
      <w:pPr>
        <w:pStyle w:val="1"/>
        <w:rPr>
          <w:rtl/>
        </w:rPr>
      </w:pPr>
      <w:r>
        <w:rPr>
          <w:rtl/>
        </w:rPr>
        <w:t xml:space="preserve">غالباً ما كانت القصاصات الشديدة تلحق بالعبيد إذا أخطأوا أو لم يطيعوا سيّدهم، لذلك كان العبيد يُضربون بالعصي ويُجلدون بالسياط بلا شفقة. أمّا العبد الذي يهرب والذي يسرق فكان يُدمغ على جبهته دمغة مميّزة، والبعض كانت تُكتب على جباههم أحرف </w:t>
      </w:r>
      <w:r>
        <w:t xml:space="preserve">CF </w:t>
      </w:r>
      <w:r>
        <w:rPr>
          <w:rtl/>
        </w:rPr>
        <w:t xml:space="preserve"> أو </w:t>
      </w:r>
      <w:r>
        <w:t>F</w:t>
      </w:r>
      <w:r>
        <w:rPr>
          <w:rtl/>
        </w:rPr>
        <w:t xml:space="preserve">، وتشير إلى الكلمات الرومانيّة </w:t>
      </w:r>
      <w:r>
        <w:rPr>
          <w:i/>
          <w:iCs/>
        </w:rPr>
        <w:t>Cave Furem</w:t>
      </w:r>
      <w:r>
        <w:t xml:space="preserve"> </w:t>
      </w:r>
      <w:r>
        <w:rPr>
          <w:rtl/>
        </w:rPr>
        <w:t xml:space="preserve"> (أي احذر اللصّ) و </w:t>
      </w:r>
      <w:r>
        <w:rPr>
          <w:i/>
          <w:iCs/>
        </w:rPr>
        <w:t>Fugitivus</w:t>
      </w:r>
      <w:r>
        <w:rPr>
          <w:rtl/>
        </w:rPr>
        <w:t xml:space="preserve"> (أي هارب)، وكان كثيرون يُسجنون نتيجة لهربهم. ومع أنّه مات كثير من العبيد من جرّاء أساليب التعذيب التي كانوا يخ</w:t>
      </w:r>
      <w:r>
        <w:rPr>
          <w:rtl/>
        </w:rPr>
        <w:t>ضعون لها إلاّ أنّه لم يكن يحقّ لأيّ من السادة قتل عبد دون أمر من المحكمة. هذا ولم يكن هرب العبد يقلّل من حقوق السيّد عليه، لكنّ مسألة ملاحقة العبد وإرجاعه إلى سيّده كانت مسؤوليّة السلطات المدنيّة. وقد استغلّ بعض الناس ظاهرة هرب العبيد فاختصّوا بالبحث عن العبيد وإرجاعهم لقاء مبالغ معيّنة.</w:t>
      </w:r>
    </w:p>
    <w:p w:rsidR="00000000" w:rsidRDefault="00826ADD">
      <w:pPr>
        <w:pStyle w:val="1"/>
        <w:rPr>
          <w:rtl/>
        </w:rPr>
      </w:pPr>
      <w:r>
        <w:rPr>
          <w:rtl/>
        </w:rPr>
        <w:t xml:space="preserve">أمّا الطريقة الرئيسيّة التي كان العبد يحصل فيها على حريّته فكانت بمبادرة من السيّد الذي كان يتقاضى لقاء ذلك مبلغاً للفدية. وأحياناً كانت توضع بعض الشروط على هذه العمليّة للتقليل من ظاهرة </w:t>
      </w:r>
      <w:r>
        <w:rPr>
          <w:rtl/>
        </w:rPr>
        <w:lastRenderedPageBreak/>
        <w:t xml:space="preserve">انخراط الأجانب في المجتمع الروماني. </w:t>
      </w:r>
      <w:r>
        <w:rPr>
          <w:rtl/>
        </w:rPr>
        <w:t xml:space="preserve">وبينما كان يمكن للعبيد الأحرار أن يحصلوا على الجنسسيّة الرومانيّة لم يكن يحقّ لهم ذلك في المجتمع اليوناني. وكان ذلك سبباً في لجوء الكثيرين من العبيد إلى إيطاليا في القرنين الأوّل والثاني قبل الميلاد. ولربّما كان هذا الواقع وراء قصّة هروب أونسيمس إلى مدينة روما. فلا شكّ أنّه كان على علم بوجود عدد كبير من العبيد المتحرّرين هناك الذين ربّما كانوا مصدر معونة له كما كان يرجو.  </w:t>
      </w:r>
    </w:p>
    <w:p w:rsidR="00000000" w:rsidRDefault="00826ADD">
      <w:pPr>
        <w:pStyle w:val="1"/>
        <w:rPr>
          <w:rtl/>
        </w:rPr>
      </w:pPr>
      <w:r>
        <w:rPr>
          <w:rtl/>
        </w:rPr>
        <w:t>وبالنسبة لموقف بولس من مسألة العبيد نرى أنّه عوضاً عن محاولته لقلب هذا النظام الاجتماعي فقد سعى الرسول للعمل من داخل النظام طالباً من ال</w:t>
      </w:r>
      <w:r>
        <w:rPr>
          <w:rtl/>
        </w:rPr>
        <w:t>عبيد أن يطيعوا سادتهم (أف 5:6-8؛ كو 22:3-42)، ومن السادة ألاّ يكونوا قساةً على العبيد (كو 1:4؛ 1 بط 18:2-20).  لكنّ المسيحيّة قضت تدريجيّاً وبطريقة غير مباشرة على نظام الاستعباد المتعسّف. فرسالة فيلمون إذ تذكّر السيّد بضرورة قبول العبد أنسيمس لا كعبدٍ فيما بعد بل كأخٍ في الربّ قضت بذلك بوضع أساس جديد للتعامل بين السيّد والعبد المسيحيّين وهو المحبّة. ومع دخول هذا العنصر الجديد على أساس العلاقات الاجتماعيّة في المسيح انتفى المحرّض الذي قضى بقيام نظام العبوديّة القائمة على الاستغلال. فالمسيح هو الذي اقتنى العب</w:t>
      </w:r>
      <w:r>
        <w:rPr>
          <w:rtl/>
        </w:rPr>
        <w:t xml:space="preserve">د والسيّد على السواء جاعلاً إيًاهم إخوةً فيه، والحريّة الروحيّة في المسيح فاقت كلّ أنواع العبوديّة البشريّة. </w:t>
      </w:r>
    </w:p>
    <w:p w:rsidR="00000000" w:rsidRDefault="00826ADD">
      <w:pPr>
        <w:pStyle w:val="Heading2"/>
        <w:rPr>
          <w:rtl/>
        </w:rPr>
      </w:pPr>
      <w:r>
        <w:rPr>
          <w:rtl/>
        </w:rPr>
        <w:br w:type="page"/>
      </w:r>
      <w:r>
        <w:rPr>
          <w:rtl/>
        </w:rPr>
        <w:lastRenderedPageBreak/>
        <w:t>مخطّط بياني مفصّل</w:t>
      </w:r>
    </w:p>
    <w:p w:rsidR="00000000" w:rsidRDefault="00826ADD">
      <w:pPr>
        <w:pStyle w:val="OUT1"/>
        <w:rPr>
          <w:rtl/>
        </w:rPr>
      </w:pPr>
      <w:r>
        <w:rPr>
          <w:rtl/>
        </w:rPr>
        <w:t>1.</w:t>
      </w:r>
      <w:r>
        <w:rPr>
          <w:rtl/>
        </w:rPr>
        <w:tab/>
        <w:t>التحيّة الافتتاحيّة (1-3)</w:t>
      </w:r>
    </w:p>
    <w:p w:rsidR="00000000" w:rsidRDefault="00826ADD">
      <w:pPr>
        <w:pStyle w:val="OUT2"/>
        <w:rPr>
          <w:rtl/>
        </w:rPr>
      </w:pPr>
      <w:r>
        <w:rPr>
          <w:rtl/>
        </w:rPr>
        <w:t>أ.</w:t>
      </w:r>
      <w:r>
        <w:rPr>
          <w:rtl/>
        </w:rPr>
        <w:tab/>
        <w:t>الكاتب المأسور (1أ)</w:t>
      </w:r>
    </w:p>
    <w:p w:rsidR="00000000" w:rsidRDefault="00826ADD">
      <w:pPr>
        <w:pStyle w:val="OUT2"/>
        <w:rPr>
          <w:rtl/>
        </w:rPr>
      </w:pPr>
      <w:r>
        <w:rPr>
          <w:rtl/>
        </w:rPr>
        <w:t>ب.</w:t>
      </w:r>
      <w:r>
        <w:rPr>
          <w:rtl/>
        </w:rPr>
        <w:tab/>
        <w:t>القرّاء المحبوبون (1ب-2)</w:t>
      </w:r>
    </w:p>
    <w:p w:rsidR="00000000" w:rsidRDefault="00826ADD">
      <w:pPr>
        <w:pStyle w:val="OUT2"/>
        <w:rPr>
          <w:rtl/>
        </w:rPr>
      </w:pPr>
      <w:r>
        <w:rPr>
          <w:rtl/>
        </w:rPr>
        <w:t>ج.</w:t>
      </w:r>
      <w:r>
        <w:rPr>
          <w:rtl/>
        </w:rPr>
        <w:tab/>
        <w:t>السلام الموهوب (3)</w:t>
      </w:r>
    </w:p>
    <w:p w:rsidR="00000000" w:rsidRDefault="00826ADD">
      <w:pPr>
        <w:pStyle w:val="OUT1"/>
        <w:rPr>
          <w:rtl/>
        </w:rPr>
      </w:pPr>
      <w:r>
        <w:rPr>
          <w:rtl/>
        </w:rPr>
        <w:t>2.</w:t>
      </w:r>
      <w:r>
        <w:rPr>
          <w:rtl/>
        </w:rPr>
        <w:tab/>
        <w:t>الصلاة الشفاعيّة لأجل فيلمون (4-7)</w:t>
      </w:r>
    </w:p>
    <w:p w:rsidR="00000000" w:rsidRDefault="00826ADD">
      <w:pPr>
        <w:pStyle w:val="OUT2"/>
        <w:rPr>
          <w:rtl/>
        </w:rPr>
      </w:pPr>
      <w:r>
        <w:rPr>
          <w:rtl/>
        </w:rPr>
        <w:t>أ.</w:t>
      </w:r>
      <w:r>
        <w:rPr>
          <w:rtl/>
        </w:rPr>
        <w:tab/>
        <w:t>صفات التكريس الداعية للصلاة الشاكرة (4-5)</w:t>
      </w:r>
    </w:p>
    <w:p w:rsidR="00000000" w:rsidRDefault="00826ADD">
      <w:pPr>
        <w:pStyle w:val="OUT2"/>
        <w:rPr>
          <w:rtl/>
        </w:rPr>
      </w:pPr>
      <w:r>
        <w:rPr>
          <w:rtl/>
        </w:rPr>
        <w:t>ب.</w:t>
      </w:r>
      <w:r>
        <w:rPr>
          <w:rtl/>
        </w:rPr>
        <w:tab/>
        <w:t>صلاة الرسول الراجية لشركة الإيمان العارفة (6)</w:t>
      </w:r>
    </w:p>
    <w:p w:rsidR="00000000" w:rsidRDefault="00826ADD">
      <w:pPr>
        <w:pStyle w:val="OUT2"/>
        <w:rPr>
          <w:rtl/>
        </w:rPr>
      </w:pPr>
      <w:r>
        <w:rPr>
          <w:rtl/>
        </w:rPr>
        <w:t>ج.</w:t>
      </w:r>
      <w:r>
        <w:rPr>
          <w:rtl/>
        </w:rPr>
        <w:tab/>
        <w:t>محبّة فيلمون المنتجة للتعزية الوافرة (7)</w:t>
      </w:r>
    </w:p>
    <w:p w:rsidR="00000000" w:rsidRDefault="00826ADD">
      <w:pPr>
        <w:pStyle w:val="OUT1"/>
        <w:rPr>
          <w:rtl/>
        </w:rPr>
      </w:pPr>
      <w:r>
        <w:rPr>
          <w:rtl/>
        </w:rPr>
        <w:t>3.</w:t>
      </w:r>
      <w:r>
        <w:rPr>
          <w:rtl/>
        </w:rPr>
        <w:tab/>
        <w:t>الوساطة الرسوليّة لدى فيلمون (8-21)</w:t>
      </w:r>
    </w:p>
    <w:p w:rsidR="00000000" w:rsidRDefault="00826ADD">
      <w:pPr>
        <w:pStyle w:val="OUT2"/>
        <w:rPr>
          <w:rtl/>
        </w:rPr>
      </w:pPr>
      <w:r>
        <w:rPr>
          <w:rtl/>
        </w:rPr>
        <w:t>أ.</w:t>
      </w:r>
      <w:r>
        <w:rPr>
          <w:rtl/>
        </w:rPr>
        <w:tab/>
        <w:t>المحبّة التي تشكّل أساس الطلبة الرسوليّة (8-12، 17)</w:t>
      </w:r>
    </w:p>
    <w:p w:rsidR="00000000" w:rsidRDefault="00826ADD">
      <w:pPr>
        <w:pStyle w:val="OUT3"/>
        <w:rPr>
          <w:rtl/>
        </w:rPr>
      </w:pPr>
      <w:r>
        <w:rPr>
          <w:rtl/>
        </w:rPr>
        <w:t>1)</w:t>
      </w:r>
      <w:r>
        <w:rPr>
          <w:rtl/>
        </w:rPr>
        <w:tab/>
        <w:t>طلب أخوي</w:t>
      </w:r>
      <w:r>
        <w:rPr>
          <w:rtl/>
        </w:rPr>
        <w:t xml:space="preserve"> لا أمر رسولي (8-9أ)</w:t>
      </w:r>
    </w:p>
    <w:p w:rsidR="00000000" w:rsidRDefault="00826ADD">
      <w:pPr>
        <w:pStyle w:val="OUT3"/>
        <w:rPr>
          <w:rtl/>
        </w:rPr>
      </w:pPr>
      <w:r>
        <w:rPr>
          <w:rtl/>
        </w:rPr>
        <w:t>2)</w:t>
      </w:r>
      <w:r>
        <w:rPr>
          <w:rtl/>
        </w:rPr>
        <w:tab/>
        <w:t>محبّة تقود إلى سجن المسيح (9ب)</w:t>
      </w:r>
    </w:p>
    <w:p w:rsidR="00000000" w:rsidRDefault="00826ADD">
      <w:pPr>
        <w:pStyle w:val="OUT3"/>
        <w:rPr>
          <w:rtl/>
        </w:rPr>
      </w:pPr>
      <w:r>
        <w:rPr>
          <w:rtl/>
        </w:rPr>
        <w:t>3)</w:t>
      </w:r>
      <w:r>
        <w:rPr>
          <w:rtl/>
        </w:rPr>
        <w:tab/>
        <w:t>الطلبة لأجل الوليد الروحي (10-11)</w:t>
      </w:r>
    </w:p>
    <w:p w:rsidR="00000000" w:rsidRDefault="00826ADD">
      <w:pPr>
        <w:pStyle w:val="OUT3"/>
        <w:rPr>
          <w:rtl/>
        </w:rPr>
      </w:pPr>
      <w:r>
        <w:rPr>
          <w:rtl/>
        </w:rPr>
        <w:t>4)</w:t>
      </w:r>
      <w:r>
        <w:rPr>
          <w:rtl/>
        </w:rPr>
        <w:tab/>
        <w:t>طلبة المحبّة القلبيّة (12)</w:t>
      </w:r>
    </w:p>
    <w:p w:rsidR="00000000" w:rsidRDefault="00826ADD">
      <w:pPr>
        <w:pStyle w:val="OUT3"/>
        <w:rPr>
          <w:rtl/>
        </w:rPr>
      </w:pPr>
      <w:r>
        <w:rPr>
          <w:rtl/>
        </w:rPr>
        <w:t>5)</w:t>
      </w:r>
      <w:r>
        <w:rPr>
          <w:rtl/>
        </w:rPr>
        <w:tab/>
        <w:t>طلبة الشريك في الخدمة المسيحيّة (17)</w:t>
      </w:r>
    </w:p>
    <w:p w:rsidR="00000000" w:rsidRDefault="00826ADD">
      <w:pPr>
        <w:pStyle w:val="OUT2"/>
        <w:rPr>
          <w:rtl/>
        </w:rPr>
      </w:pPr>
      <w:r>
        <w:rPr>
          <w:rtl/>
        </w:rPr>
        <w:t>ب.</w:t>
      </w:r>
      <w:r>
        <w:rPr>
          <w:rtl/>
        </w:rPr>
        <w:tab/>
        <w:t>الإنجيل المسيطر على العلاقات الأخويّة (13-16)</w:t>
      </w:r>
    </w:p>
    <w:p w:rsidR="00000000" w:rsidRDefault="00826ADD">
      <w:pPr>
        <w:pStyle w:val="OUT3"/>
        <w:rPr>
          <w:rtl/>
        </w:rPr>
      </w:pPr>
      <w:r>
        <w:rPr>
          <w:rtl/>
        </w:rPr>
        <w:t>1)</w:t>
      </w:r>
      <w:r>
        <w:rPr>
          <w:rtl/>
        </w:rPr>
        <w:tab/>
        <w:t>علاقة الأخوّة بالإنجيل بين بولس وأنسيمس (13)</w:t>
      </w:r>
    </w:p>
    <w:p w:rsidR="00000000" w:rsidRDefault="00826ADD">
      <w:pPr>
        <w:pStyle w:val="OUT3"/>
        <w:rPr>
          <w:rtl/>
        </w:rPr>
      </w:pPr>
      <w:r>
        <w:rPr>
          <w:rtl/>
        </w:rPr>
        <w:t>2)</w:t>
      </w:r>
      <w:r>
        <w:rPr>
          <w:rtl/>
        </w:rPr>
        <w:tab/>
        <w:t>علاقة الأخوّة بالإنجيل بين بولس وفيلمون (14)</w:t>
      </w:r>
    </w:p>
    <w:p w:rsidR="00000000" w:rsidRDefault="00826ADD">
      <w:pPr>
        <w:pStyle w:val="OUT3"/>
        <w:rPr>
          <w:rtl/>
        </w:rPr>
      </w:pPr>
      <w:r>
        <w:rPr>
          <w:rtl/>
        </w:rPr>
        <w:t>3)</w:t>
      </w:r>
      <w:r>
        <w:rPr>
          <w:rtl/>
        </w:rPr>
        <w:tab/>
        <w:t>علاقة الأخوّة بالإنجيل بين فيلمون وأنسيمس (15-16)</w:t>
      </w:r>
    </w:p>
    <w:p w:rsidR="00000000" w:rsidRDefault="00826ADD">
      <w:pPr>
        <w:pStyle w:val="OUT2"/>
        <w:rPr>
          <w:rtl/>
        </w:rPr>
      </w:pPr>
      <w:r>
        <w:rPr>
          <w:rtl/>
        </w:rPr>
        <w:t>ج.</w:t>
      </w:r>
      <w:r>
        <w:rPr>
          <w:rtl/>
        </w:rPr>
        <w:tab/>
        <w:t>التعهّد الذي يضمن النفقات النيابيّة (18-21)</w:t>
      </w:r>
    </w:p>
    <w:p w:rsidR="00000000" w:rsidRDefault="00826ADD">
      <w:pPr>
        <w:pStyle w:val="OUT3"/>
        <w:rPr>
          <w:rtl/>
        </w:rPr>
      </w:pPr>
      <w:r>
        <w:rPr>
          <w:rtl/>
        </w:rPr>
        <w:t>1)</w:t>
      </w:r>
      <w:r>
        <w:rPr>
          <w:rtl/>
        </w:rPr>
        <w:tab/>
        <w:t>بولس يتعهّد بدفع ديون أنسيمس (18-19أ)</w:t>
      </w:r>
    </w:p>
    <w:p w:rsidR="00000000" w:rsidRDefault="00826ADD">
      <w:pPr>
        <w:pStyle w:val="OUT3"/>
        <w:rPr>
          <w:rtl/>
        </w:rPr>
      </w:pPr>
      <w:r>
        <w:rPr>
          <w:rtl/>
        </w:rPr>
        <w:t>2)</w:t>
      </w:r>
      <w:r>
        <w:rPr>
          <w:rtl/>
        </w:rPr>
        <w:tab/>
        <w:t>بولس يذكّر فيلمون بدينه الروحي له (19ب)</w:t>
      </w:r>
    </w:p>
    <w:p w:rsidR="00000000" w:rsidRDefault="00826ADD">
      <w:pPr>
        <w:pStyle w:val="OUT3"/>
        <w:rPr>
          <w:rtl/>
        </w:rPr>
      </w:pPr>
      <w:r>
        <w:rPr>
          <w:rtl/>
        </w:rPr>
        <w:t>3)</w:t>
      </w:r>
      <w:r>
        <w:rPr>
          <w:rtl/>
        </w:rPr>
        <w:tab/>
        <w:t xml:space="preserve">بولس يطالب بتجاوب </w:t>
      </w:r>
      <w:r>
        <w:rPr>
          <w:rtl/>
        </w:rPr>
        <w:t>فيلمون المريح (20)</w:t>
      </w:r>
    </w:p>
    <w:p w:rsidR="00000000" w:rsidRDefault="00826ADD">
      <w:pPr>
        <w:pStyle w:val="OUT3"/>
        <w:rPr>
          <w:rtl/>
        </w:rPr>
      </w:pPr>
      <w:r>
        <w:rPr>
          <w:rtl/>
        </w:rPr>
        <w:t>4)</w:t>
      </w:r>
      <w:r>
        <w:rPr>
          <w:rtl/>
        </w:rPr>
        <w:tab/>
        <w:t>بولس يتوقّع طاعة فيلمون الكاملة (21)</w:t>
      </w:r>
    </w:p>
    <w:p w:rsidR="00000000" w:rsidRDefault="00826ADD">
      <w:pPr>
        <w:pStyle w:val="OUT1"/>
        <w:rPr>
          <w:rtl/>
        </w:rPr>
      </w:pPr>
      <w:r>
        <w:rPr>
          <w:rtl/>
        </w:rPr>
        <w:t>4.</w:t>
      </w:r>
      <w:r>
        <w:rPr>
          <w:rtl/>
        </w:rPr>
        <w:tab/>
        <w:t>الكلمات الختاميّة (22-25)</w:t>
      </w:r>
    </w:p>
    <w:p w:rsidR="00000000" w:rsidRDefault="00826ADD">
      <w:pPr>
        <w:pStyle w:val="OUT2"/>
        <w:rPr>
          <w:rtl/>
        </w:rPr>
      </w:pPr>
      <w:r>
        <w:rPr>
          <w:rtl/>
        </w:rPr>
        <w:t>أ.</w:t>
      </w:r>
      <w:r>
        <w:rPr>
          <w:rtl/>
        </w:rPr>
        <w:tab/>
        <w:t>الطلبة في ضوء الاطلاق المأمول (22)</w:t>
      </w:r>
    </w:p>
    <w:p w:rsidR="00000000" w:rsidRDefault="00826ADD">
      <w:pPr>
        <w:pStyle w:val="OUT2"/>
        <w:ind w:left="850"/>
        <w:rPr>
          <w:rtl/>
        </w:rPr>
      </w:pPr>
      <w:r>
        <w:rPr>
          <w:rtl/>
        </w:rPr>
        <w:t>ب.</w:t>
      </w:r>
      <w:r>
        <w:rPr>
          <w:rtl/>
        </w:rPr>
        <w:tab/>
        <w:t>سلامات الإخوة العاملين مع الرسول (23-24)</w:t>
      </w:r>
    </w:p>
    <w:p w:rsidR="00000000" w:rsidRDefault="00826ADD">
      <w:pPr>
        <w:pStyle w:val="OUT2"/>
        <w:ind w:left="850"/>
        <w:rPr>
          <w:rtl/>
        </w:rPr>
      </w:pPr>
      <w:r>
        <w:rPr>
          <w:rtl/>
        </w:rPr>
        <w:t>ج.</w:t>
      </w:r>
      <w:r>
        <w:rPr>
          <w:rtl/>
        </w:rPr>
        <w:tab/>
        <w:t>بركة النّعمة الختاميّة (25)</w:t>
      </w:r>
    </w:p>
    <w:p w:rsidR="00000000" w:rsidRDefault="00826ADD">
      <w:pPr>
        <w:pStyle w:val="OUT2"/>
        <w:ind w:left="850"/>
        <w:rPr>
          <w:rtl/>
        </w:rPr>
      </w:pPr>
    </w:p>
    <w:p w:rsidR="00000000" w:rsidRDefault="00826ADD">
      <w:pPr>
        <w:pStyle w:val="Heading2"/>
        <w:rPr>
          <w:rtl/>
        </w:rPr>
      </w:pPr>
      <w:r>
        <w:rPr>
          <w:rtl/>
        </w:rPr>
        <w:t>موجز السفر</w:t>
      </w:r>
    </w:p>
    <w:p w:rsidR="00000000" w:rsidRDefault="00826ADD">
      <w:pPr>
        <w:pStyle w:val="Heading3"/>
        <w:rPr>
          <w:rtl/>
        </w:rPr>
      </w:pPr>
      <w:r>
        <w:rPr>
          <w:rtl/>
        </w:rPr>
        <w:t>فكرة السفر الرئيسيّة:</w:t>
      </w:r>
    </w:p>
    <w:p w:rsidR="00000000" w:rsidRDefault="00826ADD">
      <w:pPr>
        <w:pStyle w:val="a"/>
        <w:rPr>
          <w:rtl/>
        </w:rPr>
      </w:pPr>
      <w:r>
        <w:rPr>
          <w:rtl/>
        </w:rPr>
        <w:t>إذ قد تشجّع بالأخبار المعزيّة عن حياة فيلمون الروحيّة يطلب الرسول بولس إليه أن يقبل عبده الهارب أنسيمس  كأخ في الربّ وشريك في خدمة الإنجيل بحسب ما أبداه نحو باقي المؤمنين من صلاح وبحسب النعمة التي حصل عليها من الربّ يسوع المسيح.</w:t>
      </w:r>
    </w:p>
    <w:p w:rsidR="00000000" w:rsidRDefault="00826ADD">
      <w:pPr>
        <w:pStyle w:val="1"/>
        <w:rPr>
          <w:rtl/>
        </w:rPr>
      </w:pPr>
    </w:p>
    <w:p w:rsidR="00000000" w:rsidRDefault="00826ADD">
      <w:pPr>
        <w:pStyle w:val="1"/>
        <w:rPr>
          <w:rtl/>
        </w:rPr>
      </w:pPr>
      <w:r>
        <w:rPr>
          <w:rtl/>
        </w:rPr>
        <w:lastRenderedPageBreak/>
        <w:t>يوجّه الرسول بولس من سجنه رسالة قصيرة إلى فيلمو</w:t>
      </w:r>
      <w:r>
        <w:rPr>
          <w:rtl/>
        </w:rPr>
        <w:t>ن وعائلته والكنيسة التي في بيته. وهو إذ يصف تكريس فيلمون للربّ وللإخوة المؤمنين لا يستطيع إلاّ أن يشكر اللّه من أجله راجياً  أن يزداد صلاح فيلمون في حياة الإيمان، وأن تكون محبّته مصدر تعزية لجميع المؤمنين الذين حواليه (1-7).</w:t>
      </w:r>
    </w:p>
    <w:p w:rsidR="00000000" w:rsidRDefault="00826ADD">
      <w:pPr>
        <w:pStyle w:val="1"/>
        <w:rPr>
          <w:rtl/>
        </w:rPr>
      </w:pPr>
      <w:r>
        <w:rPr>
          <w:rtl/>
        </w:rPr>
        <w:t xml:space="preserve">من ثمّ يتقدّم الرسول فيتوسّط لدى فيلمون من أجل أنسيمس (8-21). ومع أنّه باستطاعة بولس أن يأمر فيلمون بناءً على سلطته الرسوليّة إلاّ أنّه لا يفعل ذلك لكنّه </w:t>
      </w:r>
      <w:r>
        <w:rPr>
          <w:b/>
          <w:bCs/>
          <w:rtl/>
        </w:rPr>
        <w:t>يبني</w:t>
      </w:r>
      <w:r>
        <w:rPr>
          <w:rtl/>
        </w:rPr>
        <w:t xml:space="preserve"> توسّطه على </w:t>
      </w:r>
      <w:r>
        <w:rPr>
          <w:b/>
          <w:bCs/>
          <w:rtl/>
        </w:rPr>
        <w:t>أساس المحبّة الكاملة</w:t>
      </w:r>
      <w:r>
        <w:rPr>
          <w:rtl/>
        </w:rPr>
        <w:t xml:space="preserve"> (8-9). أمّا من جهة أنسيمس فتشفّع بولس من أجله</w:t>
      </w:r>
      <w:r>
        <w:rPr>
          <w:b/>
          <w:bCs/>
          <w:rtl/>
        </w:rPr>
        <w:t xml:space="preserve"> مبني</w:t>
      </w:r>
      <w:r>
        <w:rPr>
          <w:rtl/>
        </w:rPr>
        <w:t xml:space="preserve"> على حقيقة </w:t>
      </w:r>
      <w:r>
        <w:rPr>
          <w:b/>
          <w:bCs/>
          <w:rtl/>
        </w:rPr>
        <w:t>ولادته الروحيّة</w:t>
      </w:r>
      <w:r>
        <w:rPr>
          <w:rtl/>
        </w:rPr>
        <w:t xml:space="preserve"> التي حوّلت هذا العب</w:t>
      </w:r>
      <w:r>
        <w:rPr>
          <w:rtl/>
        </w:rPr>
        <w:t xml:space="preserve">د الهارب غير النافع إلى إنسان جديد في المسيح </w:t>
      </w:r>
      <w:r>
        <w:rPr>
          <w:b/>
          <w:bCs/>
          <w:rtl/>
        </w:rPr>
        <w:t>نافع</w:t>
      </w:r>
      <w:r>
        <w:rPr>
          <w:rStyle w:val="FootnoteReference"/>
          <w:rtl/>
        </w:rPr>
        <w:footnoteReference w:id="4"/>
      </w:r>
      <w:r>
        <w:rPr>
          <w:rtl/>
        </w:rPr>
        <w:t xml:space="preserve"> للخدمة المسيحيّة ولسيّده فيلمون (10-12). ورغم حاجة بولس إلى أنسيمس الذي كان يخدمه في السجن فإنّ الرسول فضّل بالحري أن يرسله إلى سيّده لمعرفته بأنّ فيلمون له الحقّ الشرعي في خدمة أنسيمس ولأنّه كان يفضّل أن تكون خدمة أنسيمس له </w:t>
      </w:r>
      <w:r>
        <w:rPr>
          <w:b/>
          <w:bCs/>
          <w:rtl/>
        </w:rPr>
        <w:t>خدمة طوعيّة لا إلزاميّة</w:t>
      </w:r>
      <w:r>
        <w:rPr>
          <w:rtl/>
        </w:rPr>
        <w:t xml:space="preserve">. بالإضافة إلى ذلك يذكّر الرسول بولس فيلمون بالخير الذي نتج من جرّاء هرب أنسيمس ولجوئه إلى روما، فهو يعود إلى سيّده الآن </w:t>
      </w:r>
      <w:r>
        <w:rPr>
          <w:b/>
          <w:bCs/>
          <w:rtl/>
        </w:rPr>
        <w:t>لا كعبد</w:t>
      </w:r>
      <w:r>
        <w:rPr>
          <w:rtl/>
        </w:rPr>
        <w:t xml:space="preserve"> فقط </w:t>
      </w:r>
      <w:r>
        <w:rPr>
          <w:b/>
          <w:bCs/>
          <w:rtl/>
        </w:rPr>
        <w:t>بل أفضل</w:t>
      </w:r>
      <w:r>
        <w:rPr>
          <w:rtl/>
        </w:rPr>
        <w:t xml:space="preserve"> من ذلك، أخاً محبوباً في الربّ. وهكذا يحثّ الرسول فيلمون أن يقبل أنسيمس ك</w:t>
      </w:r>
      <w:r>
        <w:rPr>
          <w:rtl/>
        </w:rPr>
        <w:t>ما لو كان بولس بذاته ذاهباً إليه (13-17).</w:t>
      </w:r>
    </w:p>
    <w:p w:rsidR="00000000" w:rsidRDefault="00826ADD">
      <w:pPr>
        <w:pStyle w:val="1"/>
        <w:rPr>
          <w:rtl/>
        </w:rPr>
      </w:pPr>
      <w:r>
        <w:rPr>
          <w:rtl/>
        </w:rPr>
        <w:t>أمّا إذا كان أنسيمس قد قد</w:t>
      </w:r>
      <w:r>
        <w:rPr>
          <w:b/>
          <w:bCs/>
          <w:rtl/>
        </w:rPr>
        <w:t xml:space="preserve"> ظلم</w:t>
      </w:r>
      <w:r>
        <w:rPr>
          <w:rtl/>
        </w:rPr>
        <w:t xml:space="preserve"> فيلمون بأي شيء فإنّ الرسول بولس يعده بأن يدفع ذلك بنفسه </w:t>
      </w:r>
      <w:r>
        <w:rPr>
          <w:b/>
          <w:bCs/>
          <w:rtl/>
        </w:rPr>
        <w:t>نيابة</w:t>
      </w:r>
      <w:r>
        <w:rPr>
          <w:rtl/>
        </w:rPr>
        <w:t xml:space="preserve"> عن أنسيمس. من ثمّ يشجّع بولس فيلمون على قبول عبده الهارب مذكّراً ذاك الرجل الغني بأنّه هو نفسه </w:t>
      </w:r>
      <w:r>
        <w:rPr>
          <w:b/>
          <w:bCs/>
          <w:rtl/>
        </w:rPr>
        <w:t>مديون له بنفسه</w:t>
      </w:r>
      <w:r>
        <w:rPr>
          <w:rtl/>
        </w:rPr>
        <w:t xml:space="preserve"> لأنّه واحد من الذين ربحهم الرسول للمسيح (18-19). وإذ يطالب بولس فيلمون بالتجاوب مع وساطته </w:t>
      </w:r>
      <w:r>
        <w:rPr>
          <w:b/>
          <w:bCs/>
          <w:rtl/>
        </w:rPr>
        <w:t>يثق</w:t>
      </w:r>
      <w:r>
        <w:rPr>
          <w:rtl/>
        </w:rPr>
        <w:t xml:space="preserve"> بأنّه سيطيع طاعة كاملة بسبب عمل النعمة الواضح في حياته (20-21).</w:t>
      </w:r>
    </w:p>
    <w:p w:rsidR="00826ADD" w:rsidRDefault="00826ADD">
      <w:pPr>
        <w:pStyle w:val="1"/>
        <w:rPr>
          <w:rtl/>
        </w:rPr>
      </w:pPr>
      <w:r>
        <w:rPr>
          <w:rtl/>
        </w:rPr>
        <w:t>أخيراً يطمئن بولس قرّاءه بأنّه قد</w:t>
      </w:r>
      <w:r>
        <w:rPr>
          <w:b/>
          <w:bCs/>
          <w:rtl/>
        </w:rPr>
        <w:t xml:space="preserve"> يخرج قريباً</w:t>
      </w:r>
      <w:r>
        <w:rPr>
          <w:rtl/>
        </w:rPr>
        <w:t xml:space="preserve"> من السجن ويأتي إليهم ربّما لحلّ أي إشكال إن وجد. وهكذا يستودعهم</w:t>
      </w:r>
      <w:r>
        <w:rPr>
          <w:b/>
          <w:bCs/>
          <w:rtl/>
        </w:rPr>
        <w:t xml:space="preserve"> </w:t>
      </w:r>
      <w:r>
        <w:rPr>
          <w:b/>
          <w:bCs/>
          <w:rtl/>
        </w:rPr>
        <w:t>لسلام اللّه ونعمة المسيح</w:t>
      </w:r>
      <w:r>
        <w:rPr>
          <w:rtl/>
        </w:rPr>
        <w:t xml:space="preserve"> مرسلاً لهم سلامات </w:t>
      </w:r>
      <w:r>
        <w:rPr>
          <w:b/>
          <w:bCs/>
          <w:rtl/>
        </w:rPr>
        <w:t>الإخوة العاملين معه</w:t>
      </w:r>
      <w:r>
        <w:rPr>
          <w:rtl/>
        </w:rPr>
        <w:t xml:space="preserve"> في خدمة المسيح (22-25). </w:t>
      </w:r>
    </w:p>
    <w:sectPr w:rsidR="00826ADD">
      <w:headerReference w:type="even" r:id="rId6"/>
      <w:headerReference w:type="default" r:id="rId7"/>
      <w:endnotePr>
        <w:numFmt w:val="lowerLetter"/>
      </w:endnotePr>
      <w:type w:val="continuous"/>
      <w:pgSz w:w="11907" w:h="16840" w:code="9"/>
      <w:pgMar w:top="1701" w:right="1418" w:bottom="1701" w:left="1418" w:header="851" w:footer="1134" w:gutter="0"/>
      <w:cols w:space="720"/>
      <w:titlePg/>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ADD" w:rsidRDefault="00826ADD" w:rsidP="00362C44">
      <w:r>
        <w:separator/>
      </w:r>
    </w:p>
  </w:endnote>
  <w:endnote w:type="continuationSeparator" w:id="0">
    <w:p w:rsidR="00826ADD" w:rsidRDefault="00826ADD" w:rsidP="00362C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hifa Outline">
    <w:altName w:val="Times New Roman"/>
    <w:charset w:val="FF"/>
    <w:family w:val="auto"/>
    <w:pitch w:val="variable"/>
    <w:sig w:usb0="00000003" w:usb1="00000000" w:usb2="00000000" w:usb3="00000000" w:csb0="00000000" w:csb1="00000000"/>
  </w:font>
  <w:font w:name="AF_Najed">
    <w:altName w:val="Times New Roman"/>
    <w:charset w:val="FF"/>
    <w:family w:val="auto"/>
    <w:pitch w:val="variable"/>
    <w:sig w:usb0="00000003" w:usb1="00000000" w:usb2="00000000" w:usb3="00000000" w:csb0="00000000" w:csb1="00000000"/>
  </w:font>
  <w:font w:name="HASOOB">
    <w:altName w:val="Times New Roman"/>
    <w:charset w:val="FF"/>
    <w:family w:val="auto"/>
    <w:pitch w:val="variable"/>
    <w:sig w:usb0="00000003" w:usb1="00000000" w:usb2="00000000" w:usb3="00000000" w:csb0="00000000" w:csb1="00000000"/>
  </w:font>
  <w:font w:name="Sahifa">
    <w:altName w:val="Times New Roman"/>
    <w:charset w:val="FF"/>
    <w:family w:val="auto"/>
    <w:pitch w:val="variable"/>
    <w:sig w:usb0="00000003"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ADD" w:rsidRDefault="00826ADD" w:rsidP="00362C44">
      <w:r>
        <w:separator/>
      </w:r>
    </w:p>
  </w:footnote>
  <w:footnote w:type="continuationSeparator" w:id="0">
    <w:p w:rsidR="00826ADD" w:rsidRDefault="00826ADD" w:rsidP="00362C44">
      <w:r>
        <w:continuationSeparator/>
      </w:r>
    </w:p>
  </w:footnote>
  <w:footnote w:id="1">
    <w:p w:rsidR="00000000" w:rsidRDefault="00826ADD">
      <w:pPr>
        <w:pStyle w:val="FootnoteText"/>
        <w:rPr>
          <w:rtl/>
        </w:rPr>
      </w:pPr>
      <w:r>
        <w:rPr>
          <w:rStyle w:val="FootnoteReference"/>
          <w:rtl/>
        </w:rPr>
        <w:footnoteRef/>
      </w:r>
      <w:r>
        <w:rPr>
          <w:rtl/>
        </w:rPr>
        <w:t xml:space="preserve"> قارن بين فيلمون 4 و فيلبي 3:1-4؛ لاحظ أيضاً استخدام عبارتي الايمان والمحبّة في العدد 5 وهما عبارتان يستخدمهما بولس باستمرار في افتتاحيّاته.</w:t>
      </w:r>
    </w:p>
  </w:footnote>
  <w:footnote w:id="2">
    <w:p w:rsidR="00000000" w:rsidRDefault="00826ADD">
      <w:pPr>
        <w:pStyle w:val="FootnoteText"/>
        <w:rPr>
          <w:rtl/>
        </w:rPr>
      </w:pPr>
      <w:r>
        <w:rPr>
          <w:rStyle w:val="FootnoteReference"/>
          <w:rtl/>
        </w:rPr>
        <w:footnoteRef/>
      </w:r>
      <w:r>
        <w:rPr>
          <w:rtl/>
        </w:rPr>
        <w:t xml:space="preserve"> مع الإقرار بقيمة الملاحظة لا يمكن الجزم بضرورة التمييز بين طبيعة خدمة فيلمون وتلك التي لأرخبّس بناءً على هذا الفرق في التعبير. ذلك أنّ عبارة "العاملون معي" مستخدمة في نفس الرسالة للإشارة إلى أشخاص كرّسوا حياتهم بكاملها للخدمة (راجع كو 11:4؛ فيل 24). وقد يكون الاختلاف في التعبير ن</w:t>
      </w:r>
      <w:r>
        <w:rPr>
          <w:rtl/>
        </w:rPr>
        <w:t>اتجاً عن رغبة بولس في تذكير أرخبّس بخدمته وتشجيعه على إكمالها (أنظر كو 17:4).</w:t>
      </w:r>
    </w:p>
  </w:footnote>
  <w:footnote w:id="3">
    <w:p w:rsidR="00000000" w:rsidRDefault="00826ADD">
      <w:pPr>
        <w:pStyle w:val="FootnoteText"/>
      </w:pPr>
      <w:r>
        <w:rPr>
          <w:rStyle w:val="FootnoteReference"/>
          <w:rtl/>
        </w:rPr>
        <w:footnoteRef/>
      </w:r>
      <w:r>
        <w:rPr>
          <w:rtl/>
        </w:rPr>
        <w:t xml:space="preserve"> معظم ما يندرج تحت هذا العنوان مقتبس من مصدرين رئيسيّين هما: </w:t>
      </w:r>
      <w:r>
        <w:t xml:space="preserve">R. Hughes and J. Laney, </w:t>
      </w:r>
      <w:r>
        <w:rPr>
          <w:i/>
          <w:iCs/>
        </w:rPr>
        <w:t>New Bible Companion</w:t>
      </w:r>
      <w:r>
        <w:t xml:space="preserve">, 758-59; </w:t>
      </w:r>
    </w:p>
    <w:p w:rsidR="00000000" w:rsidRDefault="00826ADD">
      <w:pPr>
        <w:pStyle w:val="FootnoteText"/>
        <w:rPr>
          <w:rtl/>
        </w:rPr>
      </w:pPr>
      <w:r>
        <w:t xml:space="preserve">and David Malick, </w:t>
      </w:r>
      <w:r>
        <w:rPr>
          <w:i/>
          <w:iCs/>
        </w:rPr>
        <w:t>Argument of the Book of Philemon</w:t>
      </w:r>
      <w:r>
        <w:t>, 7-8.</w:t>
      </w:r>
    </w:p>
  </w:footnote>
  <w:footnote w:id="4">
    <w:p w:rsidR="00000000" w:rsidRDefault="00826ADD">
      <w:pPr>
        <w:pStyle w:val="FootnoteText"/>
        <w:rPr>
          <w:rtl/>
        </w:rPr>
      </w:pPr>
      <w:r>
        <w:rPr>
          <w:rStyle w:val="FootnoteReference"/>
          <w:rtl/>
        </w:rPr>
        <w:footnoteRef/>
      </w:r>
      <w:r>
        <w:rPr>
          <w:rtl/>
        </w:rPr>
        <w:t xml:space="preserve"> يعني اسم أنسيمس "نافع." والجدير بالذكر أنّ هذا الاسم كان يُطلق على الكثيرين من الخدّام للدلالة على فائدتهم في العمل.</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26ADD">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00000" w:rsidRDefault="00826ADD">
    <w:pPr>
      <w:pStyle w:val="Header"/>
      <w:rPr>
        <w:rt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26ADD">
    <w:pPr>
      <w:pStyle w:val="Header"/>
      <w:framePr w:wrap="around" w:vAnchor="text" w:hAnchor="margin" w:xAlign="center" w:y="1"/>
      <w:rPr>
        <w:rStyle w:val="PageNumber"/>
        <w:b/>
        <w:bCs/>
        <w:rtl/>
      </w:rPr>
    </w:pPr>
    <w:r>
      <w:rPr>
        <w:rStyle w:val="PageNumber"/>
        <w:b/>
        <w:bCs/>
        <w:rtl/>
      </w:rPr>
      <w:fldChar w:fldCharType="begin"/>
    </w:r>
    <w:r>
      <w:rPr>
        <w:rStyle w:val="PageNumber"/>
        <w:b/>
        <w:bCs/>
      </w:rPr>
      <w:instrText xml:space="preserve">PAGE  </w:instrText>
    </w:r>
    <w:r>
      <w:rPr>
        <w:rStyle w:val="PageNumber"/>
        <w:b/>
        <w:bCs/>
        <w:rtl/>
      </w:rPr>
      <w:fldChar w:fldCharType="separate"/>
    </w:r>
    <w:r w:rsidR="00271BB5">
      <w:rPr>
        <w:rStyle w:val="PageNumber"/>
        <w:b/>
        <w:bCs/>
        <w:noProof/>
        <w:rtl/>
      </w:rPr>
      <w:t>5</w:t>
    </w:r>
    <w:r>
      <w:rPr>
        <w:rStyle w:val="PageNumber"/>
        <w:b/>
        <w:bCs/>
        <w:rtl/>
      </w:rPr>
      <w:fldChar w:fldCharType="end"/>
    </w:r>
  </w:p>
  <w:p w:rsidR="00000000" w:rsidRDefault="00826ADD">
    <w:pPr>
      <w:pStyle w:val="Header"/>
      <w:tabs>
        <w:tab w:val="clear" w:pos="8306"/>
        <w:tab w:val="right" w:pos="9071"/>
      </w:tabs>
      <w:rPr>
        <w:rtl/>
      </w:rPr>
    </w:pPr>
    <w:r>
      <w:rPr>
        <w:b/>
        <w:bCs/>
        <w:rtl/>
      </w:rPr>
      <w:t>العهد الجديد</w:t>
    </w:r>
    <w:r>
      <w:rPr>
        <w:rtl/>
      </w:rPr>
      <w:tab/>
    </w:r>
    <w:r>
      <w:rPr>
        <w:rtl/>
      </w:rPr>
      <w:tab/>
    </w:r>
    <w:r>
      <w:rPr>
        <w:b/>
        <w:bCs/>
        <w:rtl/>
      </w:rPr>
      <w:t>رسالة فيلمون</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lowerLetter"/>
    <w:endnote w:id="-1"/>
    <w:endnote w:id="0"/>
  </w:endnotePr>
  <w:compat>
    <w:balanceSingleByteDoubleByteWidth/>
    <w:doNotLeaveBackslashAlone/>
    <w:ulTrailSpace/>
    <w:doNotExpandShiftReturn/>
  </w:compat>
  <w:rsids>
    <w:rsidRoot w:val="00271BB5"/>
    <w:rsid w:val="00271BB5"/>
    <w:rsid w:val="00826A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bidi/>
      <w:adjustRightInd w:val="0"/>
      <w:textAlignment w:val="baseline"/>
    </w:pPr>
  </w:style>
  <w:style w:type="paragraph" w:styleId="Heading1">
    <w:name w:val="heading 1"/>
    <w:basedOn w:val="Normal"/>
    <w:next w:val="Normal"/>
    <w:qFormat/>
    <w:pPr>
      <w:keepNext/>
      <w:pBdr>
        <w:top w:val="single" w:sz="18" w:space="1" w:color="auto" w:shadow="1"/>
        <w:left w:val="single" w:sz="18" w:space="1" w:color="auto" w:shadow="1"/>
        <w:bottom w:val="single" w:sz="18" w:space="1" w:color="auto" w:shadow="1"/>
        <w:right w:val="single" w:sz="18" w:space="1" w:color="auto" w:shadow="1"/>
      </w:pBdr>
      <w:shd w:val="pct25" w:color="auto" w:fill="auto"/>
      <w:spacing w:before="240" w:after="60"/>
      <w:jc w:val="center"/>
      <w:outlineLvl w:val="0"/>
    </w:pPr>
    <w:rPr>
      <w:rFonts w:ascii="Arial" w:hAnsi="Arial" w:cs="Sahifa Outline"/>
      <w:b/>
      <w:bCs/>
      <w:kern w:val="28"/>
      <w:sz w:val="28"/>
      <w:szCs w:val="72"/>
    </w:rPr>
  </w:style>
  <w:style w:type="paragraph" w:styleId="Heading2">
    <w:name w:val="heading 2"/>
    <w:basedOn w:val="Normal"/>
    <w:next w:val="Normal"/>
    <w:qFormat/>
    <w:pPr>
      <w:keepNext/>
      <w:spacing w:before="240" w:after="60"/>
      <w:jc w:val="center"/>
      <w:outlineLvl w:val="1"/>
    </w:pPr>
    <w:rPr>
      <w:rFonts w:ascii="Arial" w:hAnsi="Arial" w:cs="AF_Najed"/>
      <w:sz w:val="23"/>
      <w:szCs w:val="48"/>
    </w:rPr>
  </w:style>
  <w:style w:type="paragraph" w:styleId="Heading3">
    <w:name w:val="heading 3"/>
    <w:basedOn w:val="Normal"/>
    <w:next w:val="1"/>
    <w:qFormat/>
    <w:pPr>
      <w:keepNext/>
      <w:spacing w:before="240" w:after="60"/>
      <w:outlineLvl w:val="2"/>
    </w:pPr>
    <w:rPr>
      <w:rFonts w:cs="HASOOB"/>
      <w:sz w:val="23"/>
      <w:szCs w:val="36"/>
    </w:rPr>
  </w:style>
  <w:style w:type="paragraph" w:styleId="Heading4">
    <w:name w:val="heading 4"/>
    <w:basedOn w:val="Normal"/>
    <w:next w:val="Normal"/>
    <w:qFormat/>
    <w:pPr>
      <w:keepNext/>
      <w:spacing w:before="240" w:after="60"/>
      <w:outlineLvl w:val="3"/>
    </w:pPr>
    <w:rPr>
      <w:b/>
      <w:bCs/>
      <w:i/>
      <w:iCs/>
      <w:sz w:val="24"/>
      <w:szCs w:val="28"/>
    </w:rPr>
  </w:style>
  <w:style w:type="paragraph" w:styleId="Heading5">
    <w:name w:val="heading 5"/>
    <w:basedOn w:val="Normal"/>
    <w:next w:val="Normal"/>
    <w:qFormat/>
    <w:pPr>
      <w:spacing w:before="240" w:after="60"/>
      <w:outlineLvl w:val="4"/>
    </w:pPr>
    <w:rPr>
      <w:rFonts w:ascii="Arial" w:hAnsi="Arial"/>
      <w:sz w:val="22"/>
      <w:szCs w:val="26"/>
    </w:rPr>
  </w:style>
  <w:style w:type="paragraph" w:styleId="Heading6">
    <w:name w:val="heading 6"/>
    <w:basedOn w:val="Normal"/>
    <w:next w:val="Normal"/>
    <w:qFormat/>
    <w:pPr>
      <w:spacing w:before="240" w:after="60"/>
      <w:outlineLvl w:val="5"/>
    </w:pPr>
    <w:rPr>
      <w:rFonts w:ascii="Arial" w:hAnsi="Arial"/>
      <w:i/>
      <w:iCs/>
      <w:sz w:val="22"/>
      <w:szCs w:val="26"/>
    </w:rPr>
  </w:style>
  <w:style w:type="paragraph" w:styleId="Heading7">
    <w:name w:val="heading 7"/>
    <w:basedOn w:val="Normal"/>
    <w:next w:val="Normal"/>
    <w:qFormat/>
    <w:pPr>
      <w:spacing w:before="240" w:after="60"/>
      <w:outlineLvl w:val="6"/>
    </w:pPr>
    <w:rPr>
      <w:rFonts w:ascii="Arial" w:hAnsi="Arial"/>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style>
  <w:style w:type="character" w:styleId="FootnoteReference">
    <w:name w:val="footnote reference"/>
    <w:basedOn w:val="DefaultParagraphFont"/>
    <w:semiHidden/>
    <w:rPr>
      <w:vertAlign w:val="superscript"/>
    </w:rPr>
  </w:style>
  <w:style w:type="paragraph" w:customStyle="1" w:styleId="Head1">
    <w:name w:val="Head 1"/>
    <w:basedOn w:val="Heading1"/>
    <w:pPr>
      <w:shd w:val="pct20" w:color="auto" w:fill="auto"/>
      <w:outlineLvl w:val="9"/>
    </w:pPr>
  </w:style>
  <w:style w:type="paragraph" w:customStyle="1" w:styleId="OUT1">
    <w:name w:val="OUT 1"/>
    <w:basedOn w:val="TOC1"/>
    <w:pPr>
      <w:tabs>
        <w:tab w:val="clear" w:pos="9071"/>
      </w:tabs>
      <w:ind w:left="424" w:hanging="424"/>
    </w:pPr>
    <w:rPr>
      <w:rFonts w:cs="Sahifa"/>
      <w:sz w:val="19"/>
      <w:szCs w:val="28"/>
    </w:rPr>
  </w:style>
  <w:style w:type="paragraph" w:styleId="TOC1">
    <w:name w:val="toc 1"/>
    <w:basedOn w:val="Normal"/>
    <w:next w:val="Normal"/>
    <w:semiHidden/>
    <w:pPr>
      <w:tabs>
        <w:tab w:val="right" w:leader="dot" w:pos="9071"/>
      </w:tabs>
    </w:pPr>
  </w:style>
  <w:style w:type="paragraph" w:customStyle="1" w:styleId="OUT2">
    <w:name w:val="OUT 2"/>
    <w:basedOn w:val="TOC2"/>
    <w:pPr>
      <w:tabs>
        <w:tab w:val="clear" w:pos="9071"/>
      </w:tabs>
      <w:ind w:left="849" w:hanging="425"/>
    </w:pPr>
    <w:rPr>
      <w:b/>
      <w:bCs/>
      <w:szCs w:val="28"/>
    </w:rPr>
  </w:style>
  <w:style w:type="paragraph" w:styleId="TOC2">
    <w:name w:val="toc 2"/>
    <w:basedOn w:val="Normal"/>
    <w:next w:val="Normal"/>
    <w:semiHidden/>
    <w:pPr>
      <w:tabs>
        <w:tab w:val="right" w:leader="dot" w:pos="9071"/>
      </w:tabs>
      <w:ind w:left="200"/>
    </w:pPr>
  </w:style>
  <w:style w:type="paragraph" w:customStyle="1" w:styleId="OUT3">
    <w:name w:val="OUT 3"/>
    <w:basedOn w:val="OUT2"/>
    <w:pPr>
      <w:ind w:left="1274"/>
    </w:pPr>
  </w:style>
  <w:style w:type="paragraph" w:customStyle="1" w:styleId="OUT4">
    <w:name w:val="OUT 4"/>
    <w:basedOn w:val="OUT3"/>
    <w:pPr>
      <w:ind w:left="1700" w:hanging="426"/>
    </w:pPr>
    <w:rPr>
      <w:b w:val="0"/>
      <w:bCs w:val="0"/>
    </w:rPr>
  </w:style>
  <w:style w:type="paragraph" w:customStyle="1" w:styleId="OUT5">
    <w:name w:val="OUT 5"/>
    <w:basedOn w:val="OUT4"/>
    <w:pPr>
      <w:ind w:left="2125" w:hanging="425"/>
    </w:pPr>
  </w:style>
  <w:style w:type="paragraph" w:customStyle="1" w:styleId="OUT6">
    <w:name w:val="OUT 6"/>
    <w:basedOn w:val="OUT5"/>
    <w:pPr>
      <w:ind w:left="2550"/>
    </w:pPr>
  </w:style>
  <w:style w:type="paragraph" w:customStyle="1" w:styleId="1">
    <w:name w:val="نمط1"/>
    <w:basedOn w:val="Normal"/>
    <w:pPr>
      <w:pBdr>
        <w:right w:val="single" w:sz="36" w:space="10" w:color="808080"/>
      </w:pBdr>
      <w:ind w:left="-1" w:firstLine="567"/>
      <w:jc w:val="both"/>
    </w:pPr>
    <w:rPr>
      <w:szCs w:val="28"/>
    </w:rPr>
  </w:style>
  <w:style w:type="paragraph" w:styleId="FootnoteText">
    <w:name w:val="footnote text"/>
    <w:basedOn w:val="Normal"/>
    <w:semiHidden/>
  </w:style>
  <w:style w:type="paragraph" w:customStyle="1" w:styleId="a">
    <w:name w:val="فكرة رئيسيّة"/>
    <w:basedOn w:val="1"/>
    <w:next w:val="1"/>
    <w:pPr>
      <w:shd w:val="pct25" w:color="auto" w:fill="auto"/>
    </w:pPr>
    <w:rPr>
      <w:b/>
      <w:bCs/>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1426</Words>
  <Characters>8134</Characters>
  <Application>Microsoft Office Word</Application>
  <DocSecurity>0</DocSecurity>
  <Lines>67</Lines>
  <Paragraphs>19</Paragraphs>
  <ScaleCrop>false</ScaleCrop>
  <Company/>
  <LinksUpToDate>false</LinksUpToDate>
  <CharactersWithSpaces>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يهوذا</dc:title>
  <dc:creator>Kenneth W Betts</dc:creator>
  <cp:lastModifiedBy>user</cp:lastModifiedBy>
  <cp:revision>2</cp:revision>
  <cp:lastPrinted>1601-01-01T00:00:00Z</cp:lastPrinted>
  <dcterms:created xsi:type="dcterms:W3CDTF">2021-12-14T08:05:00Z</dcterms:created>
  <dcterms:modified xsi:type="dcterms:W3CDTF">2021-12-14T08:05:00Z</dcterms:modified>
</cp:coreProperties>
</file>