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B70BD">
      <w:pPr>
        <w:pStyle w:val="Heading1"/>
        <w:rPr>
          <w:rtl/>
        </w:rPr>
      </w:pPr>
      <w:r>
        <w:rPr>
          <w:rtl/>
        </w:rPr>
        <w:t>رسالة تيموثاوس الأولى</w:t>
      </w:r>
    </w:p>
    <w:p w:rsidR="00000000" w:rsidRDefault="00BB70BD">
      <w:pPr>
        <w:pStyle w:val="Heading2"/>
        <w:rPr>
          <w:rtl/>
        </w:rPr>
      </w:pPr>
      <w:r>
        <w:rPr>
          <w:rtl/>
        </w:rPr>
        <w:t>مقدّمة الرسائل الرعويّة</w:t>
      </w:r>
    </w:p>
    <w:p w:rsidR="00000000" w:rsidRDefault="00BB70BD">
      <w:pPr>
        <w:pStyle w:val="Heading3"/>
        <w:rPr>
          <w:rtl/>
        </w:rPr>
      </w:pPr>
      <w:r>
        <w:rPr>
          <w:rtl/>
        </w:rPr>
        <w:t xml:space="preserve">1- طبيعة الرسائل الرعويّة </w:t>
      </w:r>
    </w:p>
    <w:p w:rsidR="00000000" w:rsidRDefault="00BB70BD">
      <w:pPr>
        <w:pStyle w:val="1"/>
        <w:rPr>
          <w:rtl/>
        </w:rPr>
      </w:pPr>
      <w:r>
        <w:rPr>
          <w:rtl/>
        </w:rPr>
        <w:t>لم تعرف رسائل بولس الأولى والثانية إلى تيموثاوس مع رسالته إلى تيطس بالرسائل الرعويّة إلاّ في القرن الثامن عشر عندما أعطيت هذا الاسم من قبل بردوت (</w:t>
      </w:r>
      <w:r>
        <w:rPr>
          <w:i/>
          <w:iCs/>
        </w:rPr>
        <w:t>D. N. Berdot</w:t>
      </w:r>
      <w:r>
        <w:rPr>
          <w:rtl/>
        </w:rPr>
        <w:t>) سنة 1703. ومن الملفت لل</w:t>
      </w:r>
      <w:r>
        <w:rPr>
          <w:rtl/>
        </w:rPr>
        <w:t xml:space="preserve">انتباه أنّ هذه الرسائل لا تستخدم ولا في أيٍّ منها عبارات رعوية مثل </w:t>
      </w:r>
      <w:r>
        <w:rPr>
          <w:b/>
          <w:bCs/>
          <w:rtl/>
        </w:rPr>
        <w:t>راعٍ</w:t>
      </w:r>
      <w:r>
        <w:rPr>
          <w:rtl/>
        </w:rPr>
        <w:t xml:space="preserve"> </w:t>
      </w:r>
      <w:r>
        <w:rPr>
          <w:b/>
          <w:bCs/>
          <w:rtl/>
        </w:rPr>
        <w:t>وقطيع</w:t>
      </w:r>
      <w:r>
        <w:rPr>
          <w:rtl/>
        </w:rPr>
        <w:t xml:space="preserve"> أو </w:t>
      </w:r>
      <w:r>
        <w:rPr>
          <w:b/>
          <w:bCs/>
          <w:rtl/>
        </w:rPr>
        <w:t>رعيّة</w:t>
      </w:r>
      <w:r>
        <w:rPr>
          <w:rtl/>
        </w:rPr>
        <w:t xml:space="preserve"> الخ. لذلك لا نستطيع القول بأنّ هذه الرسائل رعويّة بالمعنى الكامل للكلمة لكنّها تخدم الرعاة من الناحية الإداريّة في الكنيسة. هذا وتجدر الإشارة إلى أنّ تيموثاوس وتيطس لم يكونا راعيين للكنائس المحليّة، إن في أفسس أو في كريت، بل كانا يعملان كمندوبين عن الرسول بولس لترتيب الأمور الكنسيّة بسلطانٍ رسولي. لكن مع أنّ تلك الرسائل كُتبت لأفراد لكنّ استخدامها ليس شخصيّاً بل عامّاً ينطبق على كلّ الكنائس.</w:t>
      </w:r>
    </w:p>
    <w:p w:rsidR="00000000" w:rsidRDefault="00BB70BD">
      <w:pPr>
        <w:pStyle w:val="Heading3"/>
        <w:rPr>
          <w:rtl/>
        </w:rPr>
      </w:pPr>
      <w:r>
        <w:rPr>
          <w:rtl/>
        </w:rPr>
        <w:t>2- تأليف الرسائل الرعويّة</w:t>
      </w:r>
    </w:p>
    <w:p w:rsidR="00000000" w:rsidRDefault="00BB70BD">
      <w:pPr>
        <w:pStyle w:val="1"/>
        <w:rPr>
          <w:rtl/>
        </w:rPr>
      </w:pPr>
      <w:r>
        <w:rPr>
          <w:rtl/>
        </w:rPr>
        <w:t>مع ب</w:t>
      </w:r>
      <w:r>
        <w:rPr>
          <w:rtl/>
        </w:rPr>
        <w:t xml:space="preserve">داية القرن التاسع عشر شكّك اللاّهوتيّون المتحرّرون بأصالة الرسائل الرعويّة أكثر من تشكيكهم بأيّ واحدة من الرسائل التي كتبها بولس. لكن قبل ذلك لم تكن أصالة تلك الرسائل موضع شكّ مطلقاً. فمن حيث الأدلّة الخارجيّة يشهد لصحّة تأليف بولس لهذه الرسائل كلّ من كليمانت الروماني وبوليكاربوس وهرماس وإيريناوس وكليمانت الاسكندري وأوريجين ويوسابيوس والقانون الموراتوري. أمّا التشكيك بأصالة الرسائل واقتراح كتابة آخرين لها فيقوم في معظمه على الأدلّة الداخليّة. لكنّ الانتقادات التي تقدّم بشأنها ليست كافية لقلب التأييد الواسع </w:t>
      </w:r>
      <w:r>
        <w:rPr>
          <w:rtl/>
        </w:rPr>
        <w:t xml:space="preserve">لأصالة الرسائل من آباء الكنيسة الأوّلين واللاّحقين. فالرسائل تحدّد اسم كاتبها على أنّه الرسول بولس (1 تي 1:1؛ 2 تي 1:1؛ تيط 1:1). أمّا القول بأنّ الذي كتب الرسائل الرعويّة استعار اسم بولس في القرن الثاني الميلادي في محاولة </w:t>
      </w:r>
      <w:r>
        <w:rPr>
          <w:b/>
          <w:bCs/>
          <w:rtl/>
        </w:rPr>
        <w:t>تقيّة</w:t>
      </w:r>
      <w:r>
        <w:rPr>
          <w:rtl/>
        </w:rPr>
        <w:t xml:space="preserve"> منه لإضفاء نوع من السلطان على رسائله فأمر غير منطقي للأسباب التالية: 1- لم تكن الرسائل المستعارة مقبولة لا من بولس ولا من الكنيسة الأولى في بداية تاريخها (راجع 2 تسا 2:2؛ 17:3). 2- لا يمكن وصف عمليّة خداع ما من هذا الشكل بأنّها محاولة </w:t>
      </w:r>
      <w:r>
        <w:rPr>
          <w:b/>
          <w:bCs/>
          <w:rtl/>
        </w:rPr>
        <w:t>تقيّة</w:t>
      </w:r>
      <w:r>
        <w:rPr>
          <w:rtl/>
        </w:rPr>
        <w:t>، فالخداع ليس من اللّه. 3- لا يعقل في حال ر</w:t>
      </w:r>
      <w:r>
        <w:rPr>
          <w:rtl/>
        </w:rPr>
        <w:t xml:space="preserve">غبة الكاتب في تزوير اسم بولس أن يشير إلى كلّ الحقائق الشخصيّة المذكورة في الرسائل خاصّة تلك التي تصوّر بولس في اضطهاده للكنيسة قبل الإيمان وصفته كأوّل الخطاة (راجع 1 تي 12:1-17؛ 7:2؛ 2 تي 8:1-12؛ 9:4-22؛ تيط 5:1؛ 12:3-13). فالتكلّم بمثل هذا الشكل عن نفسه ينسجم مع كتابة بولس عن نفسه في آخر أيّامه. 4- لا ينطبق محتوى هذه الرسائل مع تعاليم البدعة الأدريّة التي سادت في القرن الثاني الميلادي، كما لا يمكن لرسالة مثل 2 تيموثاوس التي هي رسالة شخصيّة أن تـخدم أحداً في القرن الثاني الميلادي. 5- أخيراً يجدر القول بأنّ </w:t>
      </w:r>
      <w:r>
        <w:rPr>
          <w:rtl/>
        </w:rPr>
        <w:t xml:space="preserve">الاختلاف في الأسلوب </w:t>
      </w:r>
      <w:r>
        <w:rPr>
          <w:rtl/>
        </w:rPr>
        <w:lastRenderedPageBreak/>
        <w:t>والسكب بين الرسائل الرعويّة والكتابات الأبوكريفيّة في العهد الجديد، اختلاف شاسع جدّاً. هكذا نستنتج بأنّ كاتب تيموثاوس الأولى والثانية ورسالة تيطس هو بولس الرسول كما هو واضح فيها.</w:t>
      </w:r>
      <w:r>
        <w:rPr>
          <w:rStyle w:val="FootnoteReference"/>
          <w:rtl/>
        </w:rPr>
        <w:footnoteReference w:id="1"/>
      </w:r>
    </w:p>
    <w:p w:rsidR="00000000" w:rsidRDefault="00BB70BD">
      <w:pPr>
        <w:pStyle w:val="Heading3"/>
        <w:rPr>
          <w:rtl/>
        </w:rPr>
      </w:pPr>
      <w:r>
        <w:rPr>
          <w:rtl/>
        </w:rPr>
        <w:t>3- تأريخ الرسائل الرعويّة وخلفيّاتها</w:t>
      </w:r>
      <w:r>
        <w:rPr>
          <w:rStyle w:val="FootnoteReference"/>
          <w:rtl/>
        </w:rPr>
        <w:footnoteReference w:id="2"/>
      </w:r>
    </w:p>
    <w:p w:rsidR="00000000" w:rsidRDefault="00BB70BD">
      <w:pPr>
        <w:pStyle w:val="1"/>
        <w:rPr>
          <w:rtl/>
        </w:rPr>
      </w:pPr>
      <w:r>
        <w:rPr>
          <w:b/>
          <w:bCs/>
          <w:rtl/>
        </w:rPr>
        <w:t>أ. الأدلّة التي تشير إلى إطلاق الرسول من سجن رومية</w:t>
      </w:r>
      <w:r>
        <w:rPr>
          <w:rtl/>
        </w:rPr>
        <w:t xml:space="preserve">. نجد في </w:t>
      </w:r>
      <w:r>
        <w:rPr>
          <w:b/>
          <w:bCs/>
          <w:rtl/>
        </w:rPr>
        <w:t>سفر الأعمال</w:t>
      </w:r>
      <w:r>
        <w:rPr>
          <w:rtl/>
        </w:rPr>
        <w:t xml:space="preserve"> 30:28 إشارة هامّة إلى حقيقة الإفراج عن بولس. فلو أدّى سجن بولس في رومية الذي طال سنتين كاملتين في البيت الذي استأجره لنفسه، إلى استشهاده لكان إغفال لوقا عن ذكر هذه الحادثة خطأً تاريخياً شنيعاً. علاوة على</w:t>
      </w:r>
      <w:r>
        <w:rPr>
          <w:rtl/>
        </w:rPr>
        <w:t xml:space="preserve"> ذلك فإنّ أعمال 26:25-27 و 31:26-32 تشير إلى براءة بولس في نظر السلطات المدنيّة الرومانيّة، وليس من المستبعد أن يكون قد أطلق من السجن بعد مرور سنتين على سجنه. أمّا من حيث الأدلّة التي في </w:t>
      </w:r>
      <w:r>
        <w:rPr>
          <w:b/>
          <w:bCs/>
          <w:rtl/>
        </w:rPr>
        <w:t>رسائل السجن</w:t>
      </w:r>
      <w:r>
        <w:rPr>
          <w:rtl/>
        </w:rPr>
        <w:t xml:space="preserve"> فنجد أنّ بولس يتوقّع الإفراج القريب عنه. ويظهر هذا التوقّع بشكل خاصّ في فيلبي 23:1-25؛ 24:2؛ و فيلمون 22.</w:t>
      </w:r>
    </w:p>
    <w:p w:rsidR="00000000" w:rsidRDefault="00BB70BD">
      <w:pPr>
        <w:pStyle w:val="1"/>
        <w:rPr>
          <w:rtl/>
        </w:rPr>
      </w:pPr>
      <w:r>
        <w:rPr>
          <w:b/>
          <w:bCs/>
          <w:rtl/>
        </w:rPr>
        <w:t>ب. رغبة بولس في السفر إلى روما للخدمة هناك</w:t>
      </w:r>
      <w:r>
        <w:rPr>
          <w:rtl/>
        </w:rPr>
        <w:t>. يشير بولس في رومية 22:15-24، 28 إلى رغبته في زيارة أسبانيا للكرازة فيها. ونعلم من كليمانت الروماني في رسالته الأولى إلى الكورنثيّين (حوالي سنة 95 م.) أنّ بولس "بعد</w:t>
      </w:r>
      <w:r>
        <w:rPr>
          <w:rtl/>
        </w:rPr>
        <w:t>ما كرز بالإنجيل في الشرق والغرب اكتسب شهرة في الإيمان، إذ علّم البرّ في العالم أجمع وأتى إلى أقصى حدود الغرب، ثمّ مات شهيداً على يد السلطات" (1 كليمانت 7:5). وعندما نعلم أنّ كليمانت كتب من روما ما كتبه عن زيارة بولس إلى أقصى حدود الغرب، وأنّ روما كانت تُعتبر مركز الإمبراطورية الرومانيّة في حين أنّ أسبانيا كانت أقصى حدود الغرب، نستطيع الاستنتاج بأنّ كليمانت كان يشير إلى زيارة بولس إلى أسبانيا قبل استشهاده. هذا ويشير القانون الموراتوري (170) في معرض تعليقه على كتابات لوقا بأنّه "...أغفل ذكر رحلة الرسول بولس إ</w:t>
      </w:r>
      <w:r>
        <w:rPr>
          <w:rtl/>
        </w:rPr>
        <w:t>لى أسبانيا" (راجع، هومر كنت، تيموثاوس الأولى، 49).</w:t>
      </w:r>
    </w:p>
    <w:p w:rsidR="00000000" w:rsidRDefault="00BB70BD">
      <w:pPr>
        <w:pStyle w:val="1"/>
        <w:rPr>
          <w:rtl/>
        </w:rPr>
      </w:pPr>
      <w:r>
        <w:rPr>
          <w:b/>
          <w:bCs/>
          <w:rtl/>
        </w:rPr>
        <w:t>ج. المعلومات التاريخيّة والجغرافيّة في الرسائل الرعويّة</w:t>
      </w:r>
      <w:r>
        <w:rPr>
          <w:rtl/>
        </w:rPr>
        <w:t xml:space="preserve">. لا يمكننا بأيّ شكل من الأشكال التوفيق بين المعلومات التاريخيّة والجغرافيّة الموجودة في الرسائل الرعويّة ورحلات بولس التبشيريّة في أعمال الرسل. ويجب أخذ جميع المعلومات المدرجة أدناه بعين الاعتبار في حال دراستنا لخدمة الرسول بولس الذي خدمها بعد إطلاقه من السجن. 1- نعلم من 1 تيموثاوس 3:1 أنّ بولس خرج من مكدونية معطياً تعليمات محدّدة لتيموثاوس لمساعدته في الخدمة في أفسس. 2- نعلم من 1 تيموثاوس 14:1-15 أنّ </w:t>
      </w:r>
      <w:r>
        <w:rPr>
          <w:rtl/>
        </w:rPr>
        <w:t>بولس يأمل في الذهاب إلى أفسس عن قريب، لكنّه ربّما يتأخّر. 3- يشير بولس في تيطس 5:1 إلى زيارة قام بها إلى جزيرة كريت. 4- نعلم من تيطس 12:3 أنّ بولس كان ينوي قضاء فترة الشتاء في نيكوبوليس التي هي مدينة في مقاطعة آخائية على الأرجح. 5- يخبرنا بولس في 2 تيموثاوس 13:4-20 أنّه زار ترواس وميليتس وربّما كورنثوس من فترة قريبة. 6- أخيراً نعلم من 2 تيموثاوس 16:1-17؛ 9:2 أنّ بولس كتب رسالته الثانية إلى تيموثاوس عندما كان مسجوناً في رومية.</w:t>
      </w:r>
    </w:p>
    <w:p w:rsidR="00000000" w:rsidRDefault="00BB70BD">
      <w:pPr>
        <w:pStyle w:val="1"/>
        <w:rPr>
          <w:rtl/>
        </w:rPr>
      </w:pPr>
      <w:r>
        <w:rPr>
          <w:b/>
          <w:bCs/>
          <w:rtl/>
        </w:rPr>
        <w:t>د. تسلسل مقترح للأحداث التي تبعت الإفراج عن الرسول</w:t>
      </w:r>
      <w:r>
        <w:rPr>
          <w:rtl/>
        </w:rPr>
        <w:t>. خرج الرسول بولس بعد الإفراج عن</w:t>
      </w:r>
      <w:r>
        <w:rPr>
          <w:rtl/>
        </w:rPr>
        <w:t xml:space="preserve">ه راجعاً إلى آسيا الصغرى على الأرجح. وبينما كان في آسيا الصغرى كتب على ما يبدو رسالتي تيموثاوس الأولى وتيطس. وهذا يرجّح أن يكون قد </w:t>
      </w:r>
      <w:r>
        <w:rPr>
          <w:b/>
          <w:bCs/>
          <w:rtl/>
        </w:rPr>
        <w:t>زار أوّلاً جزيرة كريت وأفسس وكولوسّي ومكدونيّة</w:t>
      </w:r>
      <w:r>
        <w:rPr>
          <w:rtl/>
        </w:rPr>
        <w:t xml:space="preserve">. ولربّما كتب </w:t>
      </w:r>
      <w:r>
        <w:rPr>
          <w:b/>
          <w:bCs/>
          <w:rtl/>
        </w:rPr>
        <w:t>رسالته الأولى إلى تيموثاوس</w:t>
      </w:r>
      <w:r>
        <w:rPr>
          <w:rtl/>
        </w:rPr>
        <w:t xml:space="preserve"> من مكدونيّة </w:t>
      </w:r>
      <w:r>
        <w:rPr>
          <w:b/>
          <w:bCs/>
          <w:rtl/>
        </w:rPr>
        <w:t>حوالي سنة 62\63 م</w:t>
      </w:r>
      <w:r>
        <w:rPr>
          <w:rtl/>
        </w:rPr>
        <w:t xml:space="preserve">.، ثمّ سافر بعدها إلى أفسس حيث يمكن أن </w:t>
      </w:r>
      <w:r>
        <w:rPr>
          <w:rtl/>
        </w:rPr>
        <w:lastRenderedPageBreak/>
        <w:t xml:space="preserve">يكون كتب </w:t>
      </w:r>
      <w:r>
        <w:rPr>
          <w:b/>
          <w:bCs/>
          <w:rtl/>
        </w:rPr>
        <w:t>رسالته إلى تيطس بين 63-66 م</w:t>
      </w:r>
      <w:r>
        <w:rPr>
          <w:rtl/>
        </w:rPr>
        <w:t xml:space="preserve">. وقد يكون بولس سافر بعدها إلى نيكوبوليس حيث شتّى هناك في طريقه إلى أسبانيا للخدمة فيها. بعدها عاد إلى الشرق قبل أن يلقى القبض عليه ويُسجن مرّة أخرى. وقد زار ميليتس وترواس وكورنثوس وأخيراً، </w:t>
      </w:r>
      <w:r>
        <w:rPr>
          <w:rtl/>
        </w:rPr>
        <w:t xml:space="preserve">سُجن في روما حيث كتب </w:t>
      </w:r>
      <w:r>
        <w:rPr>
          <w:b/>
          <w:bCs/>
          <w:rtl/>
        </w:rPr>
        <w:t>رسالته الثانية إلى تيموثاوس حوالي سنة 67 م</w:t>
      </w:r>
      <w:r>
        <w:rPr>
          <w:rtl/>
        </w:rPr>
        <w:t>. قبل استشهاده سنة 68 م..</w:t>
      </w:r>
    </w:p>
    <w:p w:rsidR="00000000" w:rsidRDefault="00BB70BD">
      <w:pPr>
        <w:pStyle w:val="Heading3"/>
        <w:rPr>
          <w:rtl/>
        </w:rPr>
      </w:pPr>
      <w:r>
        <w:rPr>
          <w:rtl/>
        </w:rPr>
        <w:t>4- ظروف كتابة تيموثاوس الأولى وأهدافها</w:t>
      </w:r>
    </w:p>
    <w:p w:rsidR="00000000" w:rsidRDefault="00BB70BD">
      <w:pPr>
        <w:pStyle w:val="1"/>
        <w:rPr>
          <w:rtl/>
        </w:rPr>
      </w:pPr>
      <w:r>
        <w:rPr>
          <w:rtl/>
        </w:rPr>
        <w:t>يوجّه بولس رسالته هذه إلى تيموثاوس الابن الصريح في الإيمان (2:1). أمّا تيموثاوس فقد التقى ببولس لأوّل مرّة أثناء الرحلة التبشيريّة الثانية (أع 1:16-3). ويبدو أنّ مدينة لسترة كانت بلدة تيموثاوس الأمّ. ويخبرنا الكتاب أنّ أباه كان يونانيّاً في حين أنّ أمّه أفنيكي وجدّته لوئيس كانتا من الأتقياء اليهود (راجع، أع 1:16؛ 2 تيموثاوس 5:1). ويظهر أنّ تيموثاوس كان قد تدرّب على معرفة الكتاب الم</w:t>
      </w:r>
      <w:r>
        <w:rPr>
          <w:rtl/>
        </w:rPr>
        <w:t>قدس منذ الطفوليّة (2 تي 14:3-15)، ولربّما آمن بالإنجيل في أوّل زيارة لبولس إلى لسترة (أع 6:14-7؛ 1 كور 17:4؛ 1 تيم 2:1) كما يتبيّن من وصف الرسول لتيموثاوس بأنّه "الابن الصريح في الإيمان." وقد خدم تيموثاوس مع الرسول بولس في رحلاته التبشيريّة (أع 3:16؛ 14:17-15؛ 22:19؛ 1 كور 17:4؛ 10:16؛ 1 تسا 1:3-2). وقد وافى تيموثاوس بولس وسيلا عندما سافرا إلى دربة ولسترة والمناطق المجاورة أثناء الرحلة التبشيريّة الثانية (أع 1:16-3) وخدم مع الرسول بولس في رحلته التبشيريّة الثالثة أيضاً. كما كان تيموثاوس رفيق بولس أثناء سجنه</w:t>
      </w:r>
      <w:r>
        <w:rPr>
          <w:rtl/>
        </w:rPr>
        <w:t xml:space="preserve"> الأوّل في رومية كما يتّضح من رسائل السجن (في 1:1؛ 19:2-24؛ كو 1:1؛ فيل 1:1). بعد إطلاق الرسول من سجنه الأوّل في رومية أوكل ترتيب أمور الكنيسة في أفسس إلى تيموثاوس (1 تيم 3:1؛ 2 تيم 16:1-18؛ 19:4). على أنّ رسالة العبرانيّين تخبرنا بأنّ تيموثاوس سُجن أيضاً (عب 23:13). وقد كتب بولس رسالة تيموثاوس الأولى بسبب تأخّره في المجيء إلى أفسس (14:3) بينما كان تيموثاوس ينتظر في المدينة من أجل ترتيب الأمور الناقصة وتصحيح التعاليم الخاطئة وترتيب أمور الكنيسة العباديّة والإداريّة. وقد عالج الرسول مواضيع مختلفة تتعلّق بهذه</w:t>
      </w:r>
      <w:r>
        <w:rPr>
          <w:rtl/>
        </w:rPr>
        <w:t xml:space="preserve"> النواحي التي احتاجتها الكنيسة في أفسس. </w:t>
      </w:r>
    </w:p>
    <w:p w:rsidR="00000000" w:rsidRDefault="00BB70BD">
      <w:pPr>
        <w:pStyle w:val="Heading2"/>
        <w:rPr>
          <w:rtl/>
        </w:rPr>
      </w:pPr>
      <w:r>
        <w:rPr>
          <w:rtl/>
        </w:rPr>
        <w:br w:type="page"/>
      </w:r>
      <w:r>
        <w:rPr>
          <w:rtl/>
        </w:rPr>
        <w:lastRenderedPageBreak/>
        <w:t>مخطّط تمهيدي موجز</w:t>
      </w:r>
    </w:p>
    <w:p w:rsidR="00000000" w:rsidRDefault="00BB70BD">
      <w:pPr>
        <w:pStyle w:val="OUT1"/>
        <w:rPr>
          <w:rtl/>
        </w:rPr>
      </w:pPr>
      <w:r>
        <w:rPr>
          <w:rtl/>
        </w:rPr>
        <w:t>1-</w:t>
      </w:r>
      <w:r>
        <w:rPr>
          <w:rtl/>
        </w:rPr>
        <w:tab/>
        <w:t>التصرّف في بيت اللّه بشأن المعلّمين الكذبة (1:1-20)</w:t>
      </w:r>
    </w:p>
    <w:p w:rsidR="00000000" w:rsidRDefault="00BB70BD">
      <w:pPr>
        <w:pStyle w:val="OUT2"/>
        <w:rPr>
          <w:rtl/>
        </w:rPr>
      </w:pPr>
      <w:r>
        <w:rPr>
          <w:rtl/>
        </w:rPr>
        <w:t>أ-</w:t>
      </w:r>
      <w:r>
        <w:rPr>
          <w:rtl/>
        </w:rPr>
        <w:tab/>
        <w:t>وصيّة بولس لتيموثاوس للبقاء في أفسس تحثّه على ضبط التعاليم الغربية (1:1-11)</w:t>
      </w:r>
    </w:p>
    <w:p w:rsidR="00000000" w:rsidRDefault="00BB70BD">
      <w:pPr>
        <w:pStyle w:val="OUT2"/>
        <w:rPr>
          <w:rtl/>
        </w:rPr>
      </w:pPr>
      <w:r>
        <w:rPr>
          <w:rtl/>
        </w:rPr>
        <w:t>ب-</w:t>
      </w:r>
      <w:r>
        <w:rPr>
          <w:rtl/>
        </w:rPr>
        <w:tab/>
        <w:t>تعليم نعمة اللّه يظهر في حياة بولس وخدمة تيموثاوس (12:1-20)</w:t>
      </w:r>
    </w:p>
    <w:p w:rsidR="00000000" w:rsidRDefault="00BB70BD">
      <w:pPr>
        <w:pStyle w:val="OUT1"/>
        <w:rPr>
          <w:rtl/>
        </w:rPr>
      </w:pPr>
      <w:r>
        <w:rPr>
          <w:rtl/>
        </w:rPr>
        <w:t>2-</w:t>
      </w:r>
      <w:r>
        <w:rPr>
          <w:rtl/>
        </w:rPr>
        <w:tab/>
        <w:t>التصرّف في بيت اللّه بشأن الخدمة الكنسيّة (1:2-16:3)</w:t>
      </w:r>
    </w:p>
    <w:p w:rsidR="00000000" w:rsidRDefault="00BB70BD">
      <w:pPr>
        <w:pStyle w:val="OUT2"/>
        <w:rPr>
          <w:rtl/>
        </w:rPr>
      </w:pPr>
      <w:r>
        <w:rPr>
          <w:rtl/>
        </w:rPr>
        <w:t>أ-</w:t>
      </w:r>
      <w:r>
        <w:rPr>
          <w:rtl/>
        </w:rPr>
        <w:tab/>
        <w:t>توصية الرسول تركّز على الصلاة الجماعية في الكنيسة (1:2-8)</w:t>
      </w:r>
    </w:p>
    <w:p w:rsidR="00000000" w:rsidRDefault="00BB70BD">
      <w:pPr>
        <w:pStyle w:val="OUT2"/>
        <w:rPr>
          <w:rtl/>
        </w:rPr>
      </w:pPr>
      <w:r>
        <w:rPr>
          <w:rtl/>
        </w:rPr>
        <w:t>ب-</w:t>
      </w:r>
      <w:r>
        <w:rPr>
          <w:rtl/>
        </w:rPr>
        <w:tab/>
        <w:t>توصية الرسول تركّز على دور المرأة في الخدمة الكنسيّة (9:2-15)</w:t>
      </w:r>
    </w:p>
    <w:p w:rsidR="00000000" w:rsidRDefault="00BB70BD">
      <w:pPr>
        <w:pStyle w:val="OUT2"/>
        <w:rPr>
          <w:rtl/>
        </w:rPr>
      </w:pPr>
      <w:r>
        <w:rPr>
          <w:rtl/>
        </w:rPr>
        <w:t>ج-</w:t>
      </w:r>
      <w:r>
        <w:rPr>
          <w:rtl/>
        </w:rPr>
        <w:tab/>
        <w:t>توصية الرسول تركّز على مواصفات الأساقفة في الكنيسة (1:3-7)</w:t>
      </w:r>
    </w:p>
    <w:p w:rsidR="00000000" w:rsidRDefault="00BB70BD">
      <w:pPr>
        <w:pStyle w:val="OUT2"/>
        <w:rPr>
          <w:rtl/>
        </w:rPr>
      </w:pPr>
      <w:r>
        <w:rPr>
          <w:rtl/>
        </w:rPr>
        <w:t>د-</w:t>
      </w:r>
      <w:r>
        <w:rPr>
          <w:rtl/>
        </w:rPr>
        <w:tab/>
        <w:t>توصية ال</w:t>
      </w:r>
      <w:r>
        <w:rPr>
          <w:rtl/>
        </w:rPr>
        <w:t>رسول تركّز على مواصفات الشمامسة في الكنيسة (8:3-13)</w:t>
      </w:r>
    </w:p>
    <w:p w:rsidR="00000000" w:rsidRDefault="00BB70BD">
      <w:pPr>
        <w:pStyle w:val="OUT2"/>
        <w:rPr>
          <w:rtl/>
        </w:rPr>
      </w:pPr>
      <w:r>
        <w:rPr>
          <w:rtl/>
        </w:rPr>
        <w:t>ه-</w:t>
      </w:r>
      <w:r>
        <w:rPr>
          <w:rtl/>
        </w:rPr>
        <w:tab/>
        <w:t>توصية الرسول في ضوء مجيئه إلى تيموثاوس ضروريّة لمعرفة التصرّف في الكنيسة (14:3-16)</w:t>
      </w:r>
    </w:p>
    <w:p w:rsidR="00000000" w:rsidRDefault="00BB70BD">
      <w:pPr>
        <w:pStyle w:val="OUT1"/>
        <w:rPr>
          <w:rtl/>
        </w:rPr>
      </w:pPr>
      <w:r>
        <w:rPr>
          <w:rtl/>
        </w:rPr>
        <w:t>3-</w:t>
      </w:r>
      <w:r>
        <w:rPr>
          <w:rtl/>
        </w:rPr>
        <w:tab/>
        <w:t>التصرّف في بيت اللّه بشأن الممارسات الاجتماعيّة (1:4-21:6)</w:t>
      </w:r>
    </w:p>
    <w:p w:rsidR="00000000" w:rsidRDefault="00BB70BD">
      <w:pPr>
        <w:pStyle w:val="OUT2"/>
        <w:rPr>
          <w:rtl/>
        </w:rPr>
      </w:pPr>
      <w:r>
        <w:rPr>
          <w:rtl/>
        </w:rPr>
        <w:t>أ-</w:t>
      </w:r>
      <w:r>
        <w:rPr>
          <w:rtl/>
        </w:rPr>
        <w:tab/>
        <w:t>بولس يعرّف تيموثاوس بكيفيّة التصرّف بشأن الارتداد عن الإيمان (1:4-16)</w:t>
      </w:r>
    </w:p>
    <w:p w:rsidR="00000000" w:rsidRDefault="00BB70BD">
      <w:pPr>
        <w:pStyle w:val="OUT2"/>
        <w:rPr>
          <w:rtl/>
        </w:rPr>
      </w:pPr>
      <w:r>
        <w:rPr>
          <w:rtl/>
        </w:rPr>
        <w:t>ب-</w:t>
      </w:r>
      <w:r>
        <w:rPr>
          <w:rtl/>
        </w:rPr>
        <w:tab/>
        <w:t>بولس يعرّف تيموثاوس بكيفيّة التصرّف في الإدارة الكنسيّة (1:5-2:6)</w:t>
      </w:r>
    </w:p>
    <w:p w:rsidR="00000000" w:rsidRDefault="00BB70BD">
      <w:pPr>
        <w:pStyle w:val="OUT2"/>
        <w:rPr>
          <w:rtl/>
        </w:rPr>
      </w:pPr>
      <w:r>
        <w:rPr>
          <w:rtl/>
        </w:rPr>
        <w:t>ج-</w:t>
      </w:r>
      <w:r>
        <w:rPr>
          <w:rtl/>
        </w:rPr>
        <w:tab/>
        <w:t>بولس يعرّف تيموثاوس بكيفيّة التصرّف في حياته الشخصيّة كخادم (3:6-21)</w:t>
      </w:r>
    </w:p>
    <w:p w:rsidR="00000000" w:rsidRDefault="00BB70BD">
      <w:pPr>
        <w:pStyle w:val="OUT2"/>
        <w:rPr>
          <w:rtl/>
        </w:rPr>
      </w:pPr>
    </w:p>
    <w:p w:rsidR="00000000" w:rsidRDefault="00BB70BD">
      <w:pPr>
        <w:pStyle w:val="Heading2"/>
        <w:rPr>
          <w:rtl/>
        </w:rPr>
      </w:pPr>
      <w:r>
        <w:rPr>
          <w:rtl/>
        </w:rPr>
        <w:t>مخطّط تمهيدي مفصّل</w:t>
      </w:r>
    </w:p>
    <w:p w:rsidR="00000000" w:rsidRDefault="00BB70BD">
      <w:pPr>
        <w:pStyle w:val="OUT1"/>
        <w:rPr>
          <w:rtl/>
        </w:rPr>
      </w:pPr>
      <w:r>
        <w:rPr>
          <w:rtl/>
        </w:rPr>
        <w:t>1-</w:t>
      </w:r>
      <w:r>
        <w:rPr>
          <w:rtl/>
        </w:rPr>
        <w:tab/>
        <w:t>التصرّف في بيت اللّه بشأن المعلّمين الكذبة (1:1-20)</w:t>
      </w:r>
    </w:p>
    <w:p w:rsidR="00000000" w:rsidRDefault="00BB70BD">
      <w:pPr>
        <w:pStyle w:val="OUT2"/>
        <w:rPr>
          <w:rtl/>
        </w:rPr>
      </w:pPr>
      <w:r>
        <w:rPr>
          <w:rtl/>
        </w:rPr>
        <w:t>أ-</w:t>
      </w:r>
      <w:r>
        <w:rPr>
          <w:rtl/>
        </w:rPr>
        <w:tab/>
        <w:t>وصيّة بولس لتيموثاوس</w:t>
      </w:r>
      <w:r>
        <w:rPr>
          <w:rtl/>
        </w:rPr>
        <w:t xml:space="preserve"> للبقاء في أفسس تحثّه على ضبط التعاليم الغربية (1:1-11)</w:t>
      </w:r>
    </w:p>
    <w:p w:rsidR="00000000" w:rsidRDefault="00BB70BD">
      <w:pPr>
        <w:pStyle w:val="OUT3"/>
        <w:rPr>
          <w:rtl/>
        </w:rPr>
      </w:pPr>
      <w:r>
        <w:rPr>
          <w:rtl/>
        </w:rPr>
        <w:t>1.</w:t>
      </w:r>
      <w:r>
        <w:rPr>
          <w:rtl/>
        </w:rPr>
        <w:tab/>
        <w:t>تحيّة الرسول الافتتاحيّة تشدّد على الأمر الإلهي للخدمة (1:1-2)</w:t>
      </w:r>
    </w:p>
    <w:p w:rsidR="00000000" w:rsidRDefault="00BB70BD">
      <w:pPr>
        <w:pStyle w:val="OUT3"/>
        <w:rPr>
          <w:rtl/>
        </w:rPr>
      </w:pPr>
      <w:r>
        <w:rPr>
          <w:rtl/>
        </w:rPr>
        <w:t>2.</w:t>
      </w:r>
      <w:r>
        <w:rPr>
          <w:rtl/>
        </w:rPr>
        <w:tab/>
        <w:t>بقاء تيموثاوس في أفسس يهدف إلى ضبط التعاليم الغريبة (3:1-11)</w:t>
      </w:r>
    </w:p>
    <w:p w:rsidR="00000000" w:rsidRDefault="00BB70BD">
      <w:pPr>
        <w:pStyle w:val="OUT4"/>
        <w:rPr>
          <w:rtl/>
        </w:rPr>
      </w:pPr>
      <w:r>
        <w:rPr>
          <w:rtl/>
        </w:rPr>
        <w:t>أ.</w:t>
      </w:r>
      <w:r>
        <w:rPr>
          <w:rtl/>
        </w:rPr>
        <w:tab/>
        <w:t>وصيّة بولس إلى تيموثاوس بشأن ضبط التعاليم الغريبة (3:1-4)</w:t>
      </w:r>
    </w:p>
    <w:p w:rsidR="00000000" w:rsidRDefault="00BB70BD">
      <w:pPr>
        <w:pStyle w:val="OUT4"/>
        <w:rPr>
          <w:rtl/>
        </w:rPr>
      </w:pPr>
      <w:r>
        <w:rPr>
          <w:rtl/>
        </w:rPr>
        <w:t>ب.</w:t>
      </w:r>
      <w:r>
        <w:rPr>
          <w:rtl/>
        </w:rPr>
        <w:tab/>
        <w:t>غاية الوصيّة المحبّة التي لا توجد عند المضلّين (5:1-7)</w:t>
      </w:r>
    </w:p>
    <w:p w:rsidR="00000000" w:rsidRDefault="00BB70BD">
      <w:pPr>
        <w:pStyle w:val="OUT4"/>
        <w:rPr>
          <w:rtl/>
        </w:rPr>
      </w:pPr>
      <w:r>
        <w:rPr>
          <w:rtl/>
        </w:rPr>
        <w:t>ج.</w:t>
      </w:r>
      <w:r>
        <w:rPr>
          <w:rtl/>
        </w:rPr>
        <w:tab/>
        <w:t>الناموس صالح إذا استُعمل مع الفجّار (8:1-11)</w:t>
      </w:r>
    </w:p>
    <w:p w:rsidR="00000000" w:rsidRDefault="00BB70BD">
      <w:pPr>
        <w:pStyle w:val="OUT2"/>
        <w:rPr>
          <w:rtl/>
        </w:rPr>
      </w:pPr>
      <w:r>
        <w:rPr>
          <w:rtl/>
        </w:rPr>
        <w:t>ب-</w:t>
      </w:r>
      <w:r>
        <w:rPr>
          <w:rtl/>
        </w:rPr>
        <w:tab/>
        <w:t>تعليم نعمة اللّه يظهر في حياة بولس وخدمة تيموثاوس (12:1-20)</w:t>
      </w:r>
    </w:p>
    <w:p w:rsidR="00000000" w:rsidRDefault="00BB70BD">
      <w:pPr>
        <w:pStyle w:val="OUT3"/>
        <w:rPr>
          <w:rtl/>
        </w:rPr>
      </w:pPr>
      <w:r>
        <w:rPr>
          <w:rtl/>
        </w:rPr>
        <w:t>1.</w:t>
      </w:r>
      <w:r>
        <w:rPr>
          <w:rtl/>
        </w:rPr>
        <w:tab/>
        <w:t>نعمة اللّه ظاهرة في تجديد حياة بولس (12:1-17)</w:t>
      </w:r>
    </w:p>
    <w:p w:rsidR="00000000" w:rsidRDefault="00BB70BD">
      <w:pPr>
        <w:pStyle w:val="OUT3"/>
        <w:rPr>
          <w:rtl/>
        </w:rPr>
      </w:pPr>
      <w:r>
        <w:rPr>
          <w:rtl/>
        </w:rPr>
        <w:t>2.</w:t>
      </w:r>
      <w:r>
        <w:rPr>
          <w:rtl/>
        </w:rPr>
        <w:tab/>
        <w:t xml:space="preserve">نعمة اللّه المقويّة لخدمة تيموثاوس الكنسيّة </w:t>
      </w:r>
      <w:r>
        <w:rPr>
          <w:rtl/>
        </w:rPr>
        <w:t>(18:1-20)</w:t>
      </w:r>
    </w:p>
    <w:p w:rsidR="00000000" w:rsidRDefault="00BB70BD">
      <w:pPr>
        <w:pStyle w:val="OUT1"/>
        <w:rPr>
          <w:rtl/>
        </w:rPr>
      </w:pPr>
      <w:r>
        <w:rPr>
          <w:rtl/>
        </w:rPr>
        <w:t>2-</w:t>
      </w:r>
      <w:r>
        <w:rPr>
          <w:rtl/>
        </w:rPr>
        <w:tab/>
        <w:t>التصرّف في بيت اللّه بشأن الخدمة الكنسيّة (1:2-16:3)</w:t>
      </w:r>
    </w:p>
    <w:p w:rsidR="00000000" w:rsidRDefault="00BB70BD">
      <w:pPr>
        <w:pStyle w:val="OUT2"/>
        <w:rPr>
          <w:rtl/>
        </w:rPr>
      </w:pPr>
      <w:r>
        <w:rPr>
          <w:rtl/>
        </w:rPr>
        <w:t>أ-</w:t>
      </w:r>
      <w:r>
        <w:rPr>
          <w:rtl/>
        </w:rPr>
        <w:tab/>
        <w:t>توصية الرسول تركّز على الصلاة في الكنيسة (1:2-8)</w:t>
      </w:r>
    </w:p>
    <w:p w:rsidR="00000000" w:rsidRDefault="00BB70BD">
      <w:pPr>
        <w:pStyle w:val="OUT3"/>
        <w:rPr>
          <w:rtl/>
        </w:rPr>
      </w:pPr>
      <w:r>
        <w:rPr>
          <w:rtl/>
        </w:rPr>
        <w:t>1.</w:t>
      </w:r>
      <w:r>
        <w:rPr>
          <w:rtl/>
        </w:rPr>
        <w:tab/>
        <w:t>أولويّة الصلوات الكنسيّة نابعة من رغبة اللّه في خلاص الجميع (1:2-4)</w:t>
      </w:r>
    </w:p>
    <w:p w:rsidR="00000000" w:rsidRDefault="00BB70BD">
      <w:pPr>
        <w:pStyle w:val="OUT3"/>
        <w:rPr>
          <w:rtl/>
        </w:rPr>
      </w:pPr>
      <w:r>
        <w:rPr>
          <w:rtl/>
        </w:rPr>
        <w:t>2.</w:t>
      </w:r>
      <w:r>
        <w:rPr>
          <w:rtl/>
        </w:rPr>
        <w:tab/>
        <w:t>خلاص الجميع يحتاج إلى الصلاة لأنّ الوسيط واحد إلى اللّه-يسوع المخلّص (5:2-8)</w:t>
      </w:r>
    </w:p>
    <w:p w:rsidR="00000000" w:rsidRDefault="00BB70BD">
      <w:pPr>
        <w:pStyle w:val="OUT2"/>
        <w:rPr>
          <w:rtl/>
        </w:rPr>
      </w:pPr>
      <w:r>
        <w:rPr>
          <w:rtl/>
        </w:rPr>
        <w:t>ب-</w:t>
      </w:r>
      <w:r>
        <w:rPr>
          <w:rtl/>
        </w:rPr>
        <w:tab/>
        <w:t>توصية الرسول تركّز على دور المرأة في الخدمة الكنسيّة (9:2-15)</w:t>
      </w:r>
    </w:p>
    <w:p w:rsidR="00000000" w:rsidRDefault="00BB70BD">
      <w:pPr>
        <w:pStyle w:val="OUT3"/>
        <w:rPr>
          <w:rtl/>
        </w:rPr>
      </w:pPr>
      <w:r>
        <w:rPr>
          <w:rtl/>
        </w:rPr>
        <w:t>1.</w:t>
      </w:r>
      <w:r>
        <w:rPr>
          <w:rtl/>
        </w:rPr>
        <w:tab/>
        <w:t>يجب أن تكون زينة النّساء الورع والتعقّل والأعمال الصالحة (9:2-10)</w:t>
      </w:r>
    </w:p>
    <w:p w:rsidR="00000000" w:rsidRDefault="00BB70BD">
      <w:pPr>
        <w:pStyle w:val="OUT3"/>
        <w:rPr>
          <w:rtl/>
        </w:rPr>
      </w:pPr>
      <w:r>
        <w:rPr>
          <w:rtl/>
        </w:rPr>
        <w:lastRenderedPageBreak/>
        <w:t>2.</w:t>
      </w:r>
      <w:r>
        <w:rPr>
          <w:rtl/>
        </w:rPr>
        <w:tab/>
        <w:t>دور المرأة في الخدمة القياديّة دور خضوع وسكون (11:2-12)</w:t>
      </w:r>
    </w:p>
    <w:p w:rsidR="00000000" w:rsidRDefault="00BB70BD">
      <w:pPr>
        <w:pStyle w:val="OUT3"/>
        <w:rPr>
          <w:rtl/>
        </w:rPr>
      </w:pPr>
      <w:r>
        <w:rPr>
          <w:rtl/>
        </w:rPr>
        <w:t>3.</w:t>
      </w:r>
      <w:r>
        <w:rPr>
          <w:rtl/>
        </w:rPr>
        <w:tab/>
        <w:t>السبب في خضوع المرأة هو ترتيب الخلق وأسبقيّة ال</w:t>
      </w:r>
      <w:r>
        <w:rPr>
          <w:rtl/>
        </w:rPr>
        <w:t>سقوط (13:2-15)</w:t>
      </w:r>
    </w:p>
    <w:p w:rsidR="00000000" w:rsidRDefault="00BB70BD">
      <w:pPr>
        <w:pStyle w:val="OUT2"/>
        <w:rPr>
          <w:rtl/>
        </w:rPr>
      </w:pPr>
      <w:r>
        <w:rPr>
          <w:rtl/>
        </w:rPr>
        <w:t>ج-</w:t>
      </w:r>
      <w:r>
        <w:rPr>
          <w:rtl/>
        </w:rPr>
        <w:tab/>
        <w:t>توصية الرسول تركّز على مواصفات الأساقفة في الكنيسة (1:3-7)</w:t>
      </w:r>
    </w:p>
    <w:p w:rsidR="00000000" w:rsidRDefault="00BB70BD">
      <w:pPr>
        <w:pStyle w:val="OUT3"/>
        <w:rPr>
          <w:rtl/>
        </w:rPr>
      </w:pPr>
      <w:r>
        <w:rPr>
          <w:rtl/>
        </w:rPr>
        <w:t>1.</w:t>
      </w:r>
      <w:r>
        <w:rPr>
          <w:rtl/>
        </w:rPr>
        <w:tab/>
        <w:t>الأسقفيّة عمل صالح (1:3)</w:t>
      </w:r>
    </w:p>
    <w:p w:rsidR="00000000" w:rsidRDefault="00BB70BD">
      <w:pPr>
        <w:pStyle w:val="OUT3"/>
        <w:rPr>
          <w:rtl/>
        </w:rPr>
      </w:pPr>
      <w:r>
        <w:rPr>
          <w:rtl/>
        </w:rPr>
        <w:t>2.</w:t>
      </w:r>
      <w:r>
        <w:rPr>
          <w:rtl/>
        </w:rPr>
        <w:tab/>
        <w:t>صفات الأسقف المتعلّقة بعدم اللّوم في الحياة الشخصيّة (2:3-3)</w:t>
      </w:r>
    </w:p>
    <w:p w:rsidR="00000000" w:rsidRDefault="00BB70BD">
      <w:pPr>
        <w:pStyle w:val="OUT3"/>
        <w:rPr>
          <w:rtl/>
        </w:rPr>
      </w:pPr>
      <w:r>
        <w:rPr>
          <w:rtl/>
        </w:rPr>
        <w:t>3.</w:t>
      </w:r>
      <w:r>
        <w:rPr>
          <w:rtl/>
        </w:rPr>
        <w:tab/>
        <w:t>صفات الأسقف المتعلّقة بعدم اللّوم من الناحبة التدبيريّة (4:2-7)</w:t>
      </w:r>
    </w:p>
    <w:p w:rsidR="00000000" w:rsidRDefault="00BB70BD">
      <w:pPr>
        <w:pStyle w:val="OUT2"/>
        <w:rPr>
          <w:rtl/>
        </w:rPr>
      </w:pPr>
      <w:r>
        <w:rPr>
          <w:rtl/>
        </w:rPr>
        <w:t>د-</w:t>
      </w:r>
      <w:r>
        <w:rPr>
          <w:rtl/>
        </w:rPr>
        <w:tab/>
        <w:t>توصية الرسول تركّز على مواصفات الشمامسة في الكنيسة (8:3-13)</w:t>
      </w:r>
    </w:p>
    <w:p w:rsidR="00000000" w:rsidRDefault="00BB70BD">
      <w:pPr>
        <w:pStyle w:val="OUT3"/>
        <w:rPr>
          <w:rtl/>
        </w:rPr>
      </w:pPr>
      <w:r>
        <w:rPr>
          <w:rtl/>
        </w:rPr>
        <w:t>1.</w:t>
      </w:r>
      <w:r>
        <w:rPr>
          <w:rtl/>
        </w:rPr>
        <w:tab/>
        <w:t>مواصفات الشمامسة الشخصيّة تفترض عدم اللّوم (8:3-9)</w:t>
      </w:r>
    </w:p>
    <w:p w:rsidR="00000000" w:rsidRDefault="00BB70BD">
      <w:pPr>
        <w:pStyle w:val="OUT3"/>
        <w:rPr>
          <w:rtl/>
        </w:rPr>
      </w:pPr>
      <w:r>
        <w:rPr>
          <w:rtl/>
        </w:rPr>
        <w:t>2.</w:t>
      </w:r>
      <w:r>
        <w:rPr>
          <w:rtl/>
        </w:rPr>
        <w:tab/>
        <w:t>عدم اللّوم في حياة الشمامسة يظهر بالاختبار الذي يسبق التعيين (10:3)</w:t>
      </w:r>
    </w:p>
    <w:p w:rsidR="00000000" w:rsidRDefault="00BB70BD">
      <w:pPr>
        <w:pStyle w:val="OUT3"/>
        <w:rPr>
          <w:rtl/>
        </w:rPr>
      </w:pPr>
      <w:r>
        <w:rPr>
          <w:rtl/>
        </w:rPr>
        <w:t>3.</w:t>
      </w:r>
      <w:r>
        <w:rPr>
          <w:rtl/>
        </w:rPr>
        <w:tab/>
        <w:t>صفات نساء القادة: الورع والتعقّل (11:3)</w:t>
      </w:r>
    </w:p>
    <w:p w:rsidR="00000000" w:rsidRDefault="00BB70BD">
      <w:pPr>
        <w:pStyle w:val="OUT3"/>
        <w:rPr>
          <w:rtl/>
        </w:rPr>
      </w:pPr>
      <w:r>
        <w:rPr>
          <w:rtl/>
        </w:rPr>
        <w:t>4.</w:t>
      </w:r>
      <w:r>
        <w:rPr>
          <w:rtl/>
        </w:rPr>
        <w:tab/>
        <w:t xml:space="preserve">صفات الشمامسة البيتيّة تؤكّد النزاهة وحسن </w:t>
      </w:r>
      <w:r>
        <w:rPr>
          <w:rtl/>
        </w:rPr>
        <w:t>التدبير (12:3)</w:t>
      </w:r>
    </w:p>
    <w:p w:rsidR="00000000" w:rsidRDefault="00BB70BD">
      <w:pPr>
        <w:pStyle w:val="OUT3"/>
        <w:rPr>
          <w:rtl/>
        </w:rPr>
      </w:pPr>
      <w:r>
        <w:rPr>
          <w:rtl/>
        </w:rPr>
        <w:t>5.</w:t>
      </w:r>
      <w:r>
        <w:rPr>
          <w:rtl/>
        </w:rPr>
        <w:tab/>
        <w:t>التشمّس تقدّم إلى الأمام في حياة الإيمان (13:3)</w:t>
      </w:r>
    </w:p>
    <w:p w:rsidR="00000000" w:rsidRDefault="00BB70BD">
      <w:pPr>
        <w:pStyle w:val="OUT2"/>
        <w:rPr>
          <w:rtl/>
        </w:rPr>
      </w:pPr>
      <w:r>
        <w:rPr>
          <w:rtl/>
        </w:rPr>
        <w:t>ه-</w:t>
      </w:r>
      <w:r>
        <w:rPr>
          <w:rtl/>
        </w:rPr>
        <w:tab/>
        <w:t>توصية الرسول في ضوء مجيئه إلى تيموثاوس ضروريّة لمعرفة التصرّف في الكنيسة (14:3-16)</w:t>
      </w:r>
    </w:p>
    <w:p w:rsidR="00000000" w:rsidRDefault="00BB70BD">
      <w:pPr>
        <w:pStyle w:val="OUT3"/>
        <w:rPr>
          <w:rtl/>
        </w:rPr>
      </w:pPr>
      <w:r>
        <w:rPr>
          <w:rtl/>
        </w:rPr>
        <w:t>1.</w:t>
      </w:r>
      <w:r>
        <w:rPr>
          <w:rtl/>
        </w:rPr>
        <w:tab/>
        <w:t>كتابة بولس تتطلّع إلى زيارته القريبة (14:3)</w:t>
      </w:r>
    </w:p>
    <w:p w:rsidR="00000000" w:rsidRDefault="00BB70BD">
      <w:pPr>
        <w:pStyle w:val="OUT3"/>
        <w:rPr>
          <w:rtl/>
        </w:rPr>
      </w:pPr>
      <w:r>
        <w:rPr>
          <w:rtl/>
        </w:rPr>
        <w:t>2.</w:t>
      </w:r>
      <w:r>
        <w:rPr>
          <w:rtl/>
        </w:rPr>
        <w:tab/>
        <w:t>وصايا الرسول تعرّف بكيفيّة التصرّف في بيت اللّه (15:3)</w:t>
      </w:r>
    </w:p>
    <w:p w:rsidR="00000000" w:rsidRDefault="00BB70BD">
      <w:pPr>
        <w:pStyle w:val="OUT3"/>
        <w:rPr>
          <w:rtl/>
        </w:rPr>
      </w:pPr>
      <w:r>
        <w:rPr>
          <w:rtl/>
        </w:rPr>
        <w:t>3.</w:t>
      </w:r>
      <w:r>
        <w:rPr>
          <w:rtl/>
        </w:rPr>
        <w:tab/>
        <w:t>سرّ التقوى مقرون بتجسّد المسيح وتمجيده (16:3)</w:t>
      </w:r>
    </w:p>
    <w:p w:rsidR="00000000" w:rsidRDefault="00BB70BD">
      <w:pPr>
        <w:pStyle w:val="OUT1"/>
        <w:rPr>
          <w:rtl/>
        </w:rPr>
      </w:pPr>
      <w:r>
        <w:rPr>
          <w:rtl/>
        </w:rPr>
        <w:t>3-</w:t>
      </w:r>
      <w:r>
        <w:rPr>
          <w:rtl/>
        </w:rPr>
        <w:tab/>
        <w:t>التصرّف في بيت اللّه بشأن الممارسات الاجتماعيّة (1:4-21:6)</w:t>
      </w:r>
    </w:p>
    <w:p w:rsidR="00000000" w:rsidRDefault="00BB70BD">
      <w:pPr>
        <w:pStyle w:val="OUT2"/>
        <w:rPr>
          <w:rtl/>
        </w:rPr>
      </w:pPr>
      <w:r>
        <w:rPr>
          <w:rtl/>
        </w:rPr>
        <w:t>أ-</w:t>
      </w:r>
      <w:r>
        <w:rPr>
          <w:rtl/>
        </w:rPr>
        <w:tab/>
        <w:t>بولس يعرّف تيموثاوس بكيفيّة التصرّف بشأن الارتداد عن الإيمان (1:4-16)</w:t>
      </w:r>
    </w:p>
    <w:p w:rsidR="00000000" w:rsidRDefault="00BB70BD">
      <w:pPr>
        <w:pStyle w:val="OUT3"/>
        <w:rPr>
          <w:rtl/>
        </w:rPr>
      </w:pPr>
      <w:r>
        <w:rPr>
          <w:rtl/>
        </w:rPr>
        <w:t>1.</w:t>
      </w:r>
      <w:r>
        <w:rPr>
          <w:rtl/>
        </w:rPr>
        <w:tab/>
        <w:t>بولس يصف الارتداد عن الإيمان (1:4-5)</w:t>
      </w:r>
    </w:p>
    <w:p w:rsidR="00000000" w:rsidRDefault="00BB70BD">
      <w:pPr>
        <w:pStyle w:val="OUT4"/>
        <w:rPr>
          <w:rtl/>
        </w:rPr>
      </w:pPr>
      <w:r>
        <w:rPr>
          <w:rtl/>
        </w:rPr>
        <w:t>أ.</w:t>
      </w:r>
      <w:r>
        <w:rPr>
          <w:rtl/>
        </w:rPr>
        <w:tab/>
        <w:t>الارتداد عن الإيمان مؤسّس عل</w:t>
      </w:r>
      <w:r>
        <w:rPr>
          <w:rtl/>
        </w:rPr>
        <w:t>ى نشاط الشرّير (1:4-2)</w:t>
      </w:r>
    </w:p>
    <w:p w:rsidR="00000000" w:rsidRDefault="00BB70BD">
      <w:pPr>
        <w:pStyle w:val="OUT4"/>
        <w:rPr>
          <w:rtl/>
        </w:rPr>
      </w:pPr>
      <w:r>
        <w:rPr>
          <w:rtl/>
        </w:rPr>
        <w:t>ب.</w:t>
      </w:r>
      <w:r>
        <w:rPr>
          <w:rtl/>
        </w:rPr>
        <w:tab/>
        <w:t>الارتداد عن الإيمان يظهر بتعليم طرق جسديّة للتبرير (3:4-5)</w:t>
      </w:r>
    </w:p>
    <w:p w:rsidR="00000000" w:rsidRDefault="00BB70BD">
      <w:pPr>
        <w:pStyle w:val="OUT3"/>
        <w:rPr>
          <w:rtl/>
        </w:rPr>
      </w:pPr>
      <w:r>
        <w:rPr>
          <w:rtl/>
        </w:rPr>
        <w:t>2.</w:t>
      </w:r>
      <w:r>
        <w:rPr>
          <w:rtl/>
        </w:rPr>
        <w:tab/>
        <w:t>بولس يصف طريقة مواجهة الارتداد عن الإيمان (6:4-10)</w:t>
      </w:r>
    </w:p>
    <w:p w:rsidR="00000000" w:rsidRDefault="00BB70BD">
      <w:pPr>
        <w:pStyle w:val="OUT4"/>
        <w:rPr>
          <w:rtl/>
        </w:rPr>
      </w:pPr>
      <w:r>
        <w:rPr>
          <w:rtl/>
        </w:rPr>
        <w:t>أ.</w:t>
      </w:r>
      <w:r>
        <w:rPr>
          <w:rtl/>
        </w:rPr>
        <w:tab/>
        <w:t>تعليم الإيمان القويم أوّل طريقة لمواجهة الارتداد (6:4-7أ)</w:t>
      </w:r>
    </w:p>
    <w:p w:rsidR="00000000" w:rsidRDefault="00BB70BD">
      <w:pPr>
        <w:pStyle w:val="OUT4"/>
        <w:rPr>
          <w:rtl/>
        </w:rPr>
      </w:pPr>
      <w:r>
        <w:rPr>
          <w:rtl/>
        </w:rPr>
        <w:t>ب.</w:t>
      </w:r>
      <w:r>
        <w:rPr>
          <w:rtl/>
        </w:rPr>
        <w:tab/>
        <w:t>العيش في التقوى طريقة لمقاومة تعاليم الضلال (7:4ب-10)</w:t>
      </w:r>
    </w:p>
    <w:p w:rsidR="00000000" w:rsidRDefault="00BB70BD">
      <w:pPr>
        <w:pStyle w:val="OUT3"/>
        <w:rPr>
          <w:rtl/>
        </w:rPr>
      </w:pPr>
      <w:r>
        <w:rPr>
          <w:rtl/>
        </w:rPr>
        <w:t>3.</w:t>
      </w:r>
      <w:r>
        <w:rPr>
          <w:rtl/>
        </w:rPr>
        <w:tab/>
        <w:t>بولس يوصي تيموثاوس وصايا شخصيّة لحياته (11:4-16)</w:t>
      </w:r>
    </w:p>
    <w:p w:rsidR="00000000" w:rsidRDefault="00BB70BD">
      <w:pPr>
        <w:pStyle w:val="OUT4"/>
        <w:rPr>
          <w:rtl/>
        </w:rPr>
      </w:pPr>
      <w:r>
        <w:rPr>
          <w:rtl/>
        </w:rPr>
        <w:t>أ.</w:t>
      </w:r>
      <w:r>
        <w:rPr>
          <w:rtl/>
        </w:rPr>
        <w:tab/>
        <w:t>وصايا بولس لحياة تيموثاوس العامّة (11:4-13)</w:t>
      </w:r>
    </w:p>
    <w:p w:rsidR="00000000" w:rsidRDefault="00BB70BD">
      <w:pPr>
        <w:pStyle w:val="OUT4"/>
        <w:rPr>
          <w:rtl/>
        </w:rPr>
      </w:pPr>
      <w:r>
        <w:rPr>
          <w:rtl/>
        </w:rPr>
        <w:t>ب.</w:t>
      </w:r>
      <w:r>
        <w:rPr>
          <w:rtl/>
        </w:rPr>
        <w:tab/>
        <w:t>وصايا بولس لحياة تيموثاوس الخاصّة (14:4-16)</w:t>
      </w:r>
    </w:p>
    <w:p w:rsidR="00000000" w:rsidRDefault="00BB70BD">
      <w:pPr>
        <w:pStyle w:val="OUT2"/>
        <w:rPr>
          <w:rtl/>
        </w:rPr>
      </w:pPr>
      <w:r>
        <w:rPr>
          <w:rtl/>
        </w:rPr>
        <w:t>ب-</w:t>
      </w:r>
      <w:r>
        <w:rPr>
          <w:rtl/>
        </w:rPr>
        <w:tab/>
        <w:t>بولس يعرّف تيموثاوس بكيفيّة التصرّف بشأن الإدارة الكنسيّة (1:5-2:6)</w:t>
      </w:r>
    </w:p>
    <w:p w:rsidR="00000000" w:rsidRDefault="00BB70BD">
      <w:pPr>
        <w:pStyle w:val="OUT3"/>
        <w:rPr>
          <w:rtl/>
        </w:rPr>
      </w:pPr>
      <w:r>
        <w:rPr>
          <w:rtl/>
        </w:rPr>
        <w:t>1.</w:t>
      </w:r>
      <w:r>
        <w:rPr>
          <w:rtl/>
        </w:rPr>
        <w:tab/>
        <w:t>مهمّة تيموثاوس بالنسبة للتوبيخ (1:5</w:t>
      </w:r>
      <w:r>
        <w:rPr>
          <w:rtl/>
        </w:rPr>
        <w:t>-2)</w:t>
      </w:r>
    </w:p>
    <w:p w:rsidR="00000000" w:rsidRDefault="00BB70BD">
      <w:pPr>
        <w:pStyle w:val="OUT3"/>
        <w:rPr>
          <w:rtl/>
        </w:rPr>
      </w:pPr>
      <w:r>
        <w:rPr>
          <w:rtl/>
        </w:rPr>
        <w:t>2.</w:t>
      </w:r>
      <w:r>
        <w:rPr>
          <w:rtl/>
        </w:rPr>
        <w:tab/>
        <w:t>مهمّة تيموثاوس بالنّسبة للعناية بالأرامل (3:5-16)</w:t>
      </w:r>
    </w:p>
    <w:p w:rsidR="00000000" w:rsidRDefault="00BB70BD">
      <w:pPr>
        <w:pStyle w:val="OUT4"/>
        <w:rPr>
          <w:rtl/>
        </w:rPr>
      </w:pPr>
      <w:r>
        <w:rPr>
          <w:rtl/>
        </w:rPr>
        <w:t>أ.</w:t>
      </w:r>
      <w:r>
        <w:rPr>
          <w:rtl/>
        </w:rPr>
        <w:tab/>
        <w:t>مساعدة الأرامل اللّواتي في حاجة حقيقيّة (3:5-8)</w:t>
      </w:r>
    </w:p>
    <w:p w:rsidR="00000000" w:rsidRDefault="00BB70BD">
      <w:pPr>
        <w:pStyle w:val="OUT4"/>
        <w:rPr>
          <w:rtl/>
        </w:rPr>
      </w:pPr>
      <w:r>
        <w:rPr>
          <w:rtl/>
        </w:rPr>
        <w:t>ب.</w:t>
      </w:r>
      <w:r>
        <w:rPr>
          <w:rtl/>
        </w:rPr>
        <w:tab/>
        <w:t>اكتتاب الأرامل للخدمة (9:5-10)</w:t>
      </w:r>
    </w:p>
    <w:p w:rsidR="00000000" w:rsidRDefault="00BB70BD">
      <w:pPr>
        <w:pStyle w:val="OUT4"/>
        <w:rPr>
          <w:rtl/>
        </w:rPr>
      </w:pPr>
      <w:r>
        <w:rPr>
          <w:rtl/>
        </w:rPr>
        <w:t>ج.</w:t>
      </w:r>
      <w:r>
        <w:rPr>
          <w:rtl/>
        </w:rPr>
        <w:tab/>
        <w:t>التوصية بشأن الأرامل الحدثات (11:5-16)</w:t>
      </w:r>
    </w:p>
    <w:p w:rsidR="00000000" w:rsidRDefault="00BB70BD">
      <w:pPr>
        <w:pStyle w:val="OUT3"/>
        <w:rPr>
          <w:rtl/>
        </w:rPr>
      </w:pPr>
      <w:r>
        <w:rPr>
          <w:rtl/>
        </w:rPr>
        <w:t>3.</w:t>
      </w:r>
      <w:r>
        <w:rPr>
          <w:rtl/>
        </w:rPr>
        <w:tab/>
        <w:t>مهمّة تيموثاوس بالنسبة لمناظرة الشيوخ (17:5-25)</w:t>
      </w:r>
    </w:p>
    <w:p w:rsidR="00000000" w:rsidRDefault="00BB70BD">
      <w:pPr>
        <w:pStyle w:val="OUT4"/>
        <w:rPr>
          <w:rtl/>
        </w:rPr>
      </w:pPr>
      <w:r>
        <w:rPr>
          <w:rtl/>
        </w:rPr>
        <w:t>أ.</w:t>
      </w:r>
      <w:r>
        <w:rPr>
          <w:rtl/>
        </w:rPr>
        <w:tab/>
        <w:t>إكرام الشيوخ (17:5-18)</w:t>
      </w:r>
    </w:p>
    <w:p w:rsidR="00000000" w:rsidRDefault="00BB70BD">
      <w:pPr>
        <w:pStyle w:val="OUT4"/>
        <w:rPr>
          <w:rtl/>
        </w:rPr>
      </w:pPr>
      <w:r>
        <w:rPr>
          <w:rtl/>
        </w:rPr>
        <w:t>ب.</w:t>
      </w:r>
      <w:r>
        <w:rPr>
          <w:rtl/>
        </w:rPr>
        <w:tab/>
        <w:t>تأديب الشيوخ (19:5-21)</w:t>
      </w:r>
    </w:p>
    <w:p w:rsidR="00000000" w:rsidRDefault="00BB70BD">
      <w:pPr>
        <w:pStyle w:val="OUT4"/>
        <w:rPr>
          <w:rtl/>
        </w:rPr>
      </w:pPr>
      <w:r>
        <w:rPr>
          <w:rtl/>
        </w:rPr>
        <w:lastRenderedPageBreak/>
        <w:t>ج.</w:t>
      </w:r>
      <w:r>
        <w:rPr>
          <w:rtl/>
        </w:rPr>
        <w:tab/>
        <w:t>انتخاب الشيوخ (22:5-25)</w:t>
      </w:r>
    </w:p>
    <w:p w:rsidR="00000000" w:rsidRDefault="00BB70BD">
      <w:pPr>
        <w:pStyle w:val="OUT3"/>
        <w:rPr>
          <w:rtl/>
        </w:rPr>
      </w:pPr>
      <w:r>
        <w:rPr>
          <w:rtl/>
        </w:rPr>
        <w:t>4.</w:t>
      </w:r>
      <w:r>
        <w:rPr>
          <w:rtl/>
        </w:rPr>
        <w:tab/>
        <w:t>توصية تيموثاوس بالنسبة لما يختصّ بالعبيد (1:6-2)</w:t>
      </w:r>
    </w:p>
    <w:p w:rsidR="00000000" w:rsidRDefault="00BB70BD">
      <w:pPr>
        <w:pStyle w:val="OUT2"/>
        <w:rPr>
          <w:rtl/>
        </w:rPr>
      </w:pPr>
      <w:r>
        <w:rPr>
          <w:rtl/>
        </w:rPr>
        <w:t>ج-</w:t>
      </w:r>
      <w:r>
        <w:rPr>
          <w:rtl/>
        </w:rPr>
        <w:tab/>
        <w:t>بولس يعرّف تيموثاوس بكيفيّة التصرّف في حياته الشخصيّة كخادم (3:6-21)</w:t>
      </w:r>
    </w:p>
    <w:p w:rsidR="00000000" w:rsidRDefault="00BB70BD">
      <w:pPr>
        <w:pStyle w:val="OUT3"/>
        <w:rPr>
          <w:rtl/>
        </w:rPr>
      </w:pPr>
      <w:r>
        <w:rPr>
          <w:rtl/>
        </w:rPr>
        <w:t>1.</w:t>
      </w:r>
      <w:r>
        <w:rPr>
          <w:rtl/>
        </w:rPr>
        <w:tab/>
        <w:t>حياة الخادم الشخصيّة يجب أن تخلو من الدوافع الذاتيّة (3:6-10)</w:t>
      </w:r>
    </w:p>
    <w:p w:rsidR="00000000" w:rsidRDefault="00BB70BD">
      <w:pPr>
        <w:pStyle w:val="OUT4"/>
        <w:rPr>
          <w:rtl/>
        </w:rPr>
      </w:pPr>
      <w:r>
        <w:rPr>
          <w:rtl/>
        </w:rPr>
        <w:t>أ.</w:t>
      </w:r>
      <w:r>
        <w:rPr>
          <w:rtl/>
        </w:rPr>
        <w:tab/>
        <w:t>التقوى</w:t>
      </w:r>
      <w:r>
        <w:rPr>
          <w:rtl/>
        </w:rPr>
        <w:t xml:space="preserve"> ليست تجارة (3:6-5)</w:t>
      </w:r>
    </w:p>
    <w:p w:rsidR="00000000" w:rsidRDefault="00BB70BD">
      <w:pPr>
        <w:pStyle w:val="OUT4"/>
        <w:rPr>
          <w:rtl/>
        </w:rPr>
      </w:pPr>
      <w:r>
        <w:rPr>
          <w:rtl/>
        </w:rPr>
        <w:t>ب.</w:t>
      </w:r>
      <w:r>
        <w:rPr>
          <w:rtl/>
        </w:rPr>
        <w:tab/>
        <w:t>منافع حياة التقوى (6:6-8)</w:t>
      </w:r>
    </w:p>
    <w:p w:rsidR="00000000" w:rsidRDefault="00BB70BD">
      <w:pPr>
        <w:pStyle w:val="OUT4"/>
        <w:rPr>
          <w:rtl/>
        </w:rPr>
      </w:pPr>
      <w:r>
        <w:rPr>
          <w:rtl/>
        </w:rPr>
        <w:t>ج.</w:t>
      </w:r>
      <w:r>
        <w:rPr>
          <w:rtl/>
        </w:rPr>
        <w:tab/>
        <w:t>خطورة محبّة المال (9:6-10)</w:t>
      </w:r>
    </w:p>
    <w:p w:rsidR="00000000" w:rsidRDefault="00BB70BD">
      <w:pPr>
        <w:pStyle w:val="OUT3"/>
        <w:rPr>
          <w:rtl/>
        </w:rPr>
      </w:pPr>
      <w:r>
        <w:rPr>
          <w:rtl/>
        </w:rPr>
        <w:t>2.</w:t>
      </w:r>
      <w:r>
        <w:rPr>
          <w:rtl/>
        </w:rPr>
        <w:tab/>
        <w:t>حياة الخادم الشخصيّة يجب أن تتحلّى بالقداسة في الخدمة المسيحيّة (11:6-21أ)</w:t>
      </w:r>
    </w:p>
    <w:p w:rsidR="00000000" w:rsidRDefault="00BB70BD">
      <w:pPr>
        <w:pStyle w:val="OUT4"/>
        <w:rPr>
          <w:rtl/>
        </w:rPr>
      </w:pPr>
      <w:r>
        <w:rPr>
          <w:rtl/>
        </w:rPr>
        <w:t>أ.</w:t>
      </w:r>
      <w:r>
        <w:rPr>
          <w:rtl/>
        </w:rPr>
        <w:tab/>
        <w:t>اتّباع الخادم لحياة القداسة (11:6)</w:t>
      </w:r>
    </w:p>
    <w:p w:rsidR="00000000" w:rsidRDefault="00BB70BD">
      <w:pPr>
        <w:pStyle w:val="OUT4"/>
        <w:rPr>
          <w:rtl/>
        </w:rPr>
      </w:pPr>
      <w:r>
        <w:rPr>
          <w:rtl/>
        </w:rPr>
        <w:t>ب.</w:t>
      </w:r>
      <w:r>
        <w:rPr>
          <w:rtl/>
        </w:rPr>
        <w:tab/>
        <w:t>مثابرة الخادم في الخدمة (12:6-16)</w:t>
      </w:r>
    </w:p>
    <w:p w:rsidR="00000000" w:rsidRDefault="00BB70BD">
      <w:pPr>
        <w:pStyle w:val="OUT4"/>
        <w:rPr>
          <w:rtl/>
        </w:rPr>
      </w:pPr>
      <w:r>
        <w:rPr>
          <w:rtl/>
        </w:rPr>
        <w:t>ج.</w:t>
      </w:r>
      <w:r>
        <w:rPr>
          <w:rtl/>
        </w:rPr>
        <w:tab/>
        <w:t>مبادئ في معاملة الأغنياء (17:6-19)</w:t>
      </w:r>
    </w:p>
    <w:p w:rsidR="00000000" w:rsidRDefault="00BB70BD">
      <w:pPr>
        <w:pStyle w:val="OUT4"/>
        <w:rPr>
          <w:rtl/>
        </w:rPr>
      </w:pPr>
      <w:r>
        <w:rPr>
          <w:rtl/>
        </w:rPr>
        <w:t>د.</w:t>
      </w:r>
      <w:r>
        <w:rPr>
          <w:rtl/>
        </w:rPr>
        <w:tab/>
        <w:t>حماية الإنجيل كواجب الخادم (20:6-21أ)</w:t>
      </w:r>
    </w:p>
    <w:p w:rsidR="00000000" w:rsidRDefault="00BB70BD">
      <w:pPr>
        <w:pStyle w:val="OUT3"/>
        <w:rPr>
          <w:rtl/>
        </w:rPr>
      </w:pPr>
      <w:r>
        <w:rPr>
          <w:rtl/>
        </w:rPr>
        <w:t>3.</w:t>
      </w:r>
      <w:r>
        <w:rPr>
          <w:rtl/>
        </w:rPr>
        <w:tab/>
        <w:t>بركة الرسول الختاميّة (21:6ب-22)</w:t>
      </w:r>
    </w:p>
    <w:p w:rsidR="00000000" w:rsidRDefault="00BB70BD">
      <w:pPr>
        <w:pStyle w:val="Heading2"/>
        <w:rPr>
          <w:rtl/>
        </w:rPr>
      </w:pPr>
      <w:r>
        <w:rPr>
          <w:rtl/>
        </w:rPr>
        <w:t>موجز السفر</w:t>
      </w:r>
    </w:p>
    <w:p w:rsidR="00000000" w:rsidRDefault="00BB70BD">
      <w:pPr>
        <w:pStyle w:val="Heading3"/>
        <w:rPr>
          <w:rtl/>
        </w:rPr>
      </w:pPr>
      <w:r>
        <w:rPr>
          <w:rtl/>
        </w:rPr>
        <w:t>فكرة السفر الرئيسيّة</w:t>
      </w:r>
    </w:p>
    <w:p w:rsidR="00000000" w:rsidRDefault="00BB70BD">
      <w:pPr>
        <w:pStyle w:val="a"/>
        <w:rPr>
          <w:rtl/>
        </w:rPr>
      </w:pPr>
      <w:r>
        <w:rPr>
          <w:rtl/>
        </w:rPr>
        <w:t>في ضوء دخول التعاليم المضلّة إلى الكنيسة يكتب الرسول بولس إلى تيموثاوس ليعرّفه كيف يجب أن يتصرّف في الكنيسة بشأن المعلّمين الكذبة وضب</w:t>
      </w:r>
      <w:r>
        <w:rPr>
          <w:rtl/>
        </w:rPr>
        <w:t>طهم وكيفيّة ترتيب خدمات الكنيسة وانتخاب القادة المهيّئين و كيفيّة ترتيب الخدمات الاجتماعيّة التي تتعلّق بإدارة الكنيسة وحياته الشخصيّة في انتظار مجيء بولس إليه.</w:t>
      </w:r>
    </w:p>
    <w:p w:rsidR="00000000" w:rsidRDefault="00BB70BD">
      <w:pPr>
        <w:pStyle w:val="1"/>
        <w:rPr>
          <w:rtl/>
        </w:rPr>
      </w:pPr>
    </w:p>
    <w:p w:rsidR="00000000" w:rsidRDefault="00BB70BD">
      <w:pPr>
        <w:pStyle w:val="1"/>
        <w:rPr>
          <w:rtl/>
        </w:rPr>
      </w:pPr>
      <w:r>
        <w:rPr>
          <w:rtl/>
        </w:rPr>
        <w:t>رسالة تيموثاوس الأولى هي واحدة من الرسائل المسمّاة بالرعويّة لاحتوائها على تعليمات تختصّ بترتيب أمور الخدمة في الكنيسة ومبادئ تختصّ بالقيادة والعبادة في بيت اللّه. وقد ترك بولس شريكه في الخدمة تيموثاوس في مدينة أفسس من أجل ضبط الأمور في الكنيسة سواء من الناحية التعليميّة عن طريق صدّ التعاليم المضلّة، أو من الناحية العباديّة عن طريق ترتيب الخدمات وا</w:t>
      </w:r>
      <w:r>
        <w:rPr>
          <w:rtl/>
        </w:rPr>
        <w:t>نتخاب القادة المؤهّلين، أو من الناحية الإداريّة عن طريق ضبط الأمور الرعويّة. وبالإمكان تقسيم هذه الرسالة إلى ثلاثة أقسام رئيسيّة هي التالية: 1- التصرّف في بيت اللّه بشأن المعلّمين الكذبة (1:1-20)؛ 2- التصرّف في بيت اللّه بشأن الخدمة الكنسيّة (1:2-16:3)؛ 3- التصرّف في بيت اللّه بشأن الممارسات الاجتماعيّة (1:4-21:6).</w:t>
      </w:r>
    </w:p>
    <w:p w:rsidR="00000000" w:rsidRDefault="00BB70BD">
      <w:pPr>
        <w:pStyle w:val="1"/>
        <w:rPr>
          <w:rtl/>
        </w:rPr>
      </w:pPr>
      <w:r>
        <w:rPr>
          <w:b/>
          <w:bCs/>
          <w:rtl/>
        </w:rPr>
        <w:t>1- التصرّف في بيت اللّه بشأن المعلّمين الكذبة (1:1-20)</w:t>
      </w:r>
      <w:r>
        <w:rPr>
          <w:rtl/>
        </w:rPr>
        <w:t>. بعد تحيّته الرسوليّة التي ذكّر فيها بأن خدمته هي بحسب الأمر الإلهي (1:1-2)، يوصي بولس شريكه في الخدمة تيموثاوس بضبط التعاليم الغريبة التي ن</w:t>
      </w:r>
      <w:r>
        <w:rPr>
          <w:rtl/>
        </w:rPr>
        <w:t>شأت في كنيسة أفسس ولا سيّما تلك التي تسيء استخدام الناموس الموسوي مشدّداً على العلامة المميّزة للتعليم الصحيح التي هي المحبّة النقيّة والإيمان العديم الرّياء (3:3-11). وفي محاولة منه للتشديد على تعليم نعمة اللّه يذكر بولس كيفيّة افتقاد اللّه له بعد اضطهاده المفرط للكنيسة والدعوة التي أخذها من الربّ للكرازة بإنجيل النّعمة هذا (12:1-17). ولا ينسى أن يوصي تيموثاوس بحمل مشعل الإيمان والمحاربة الحسنة مستمدّاً القوّة من نعمة اللّه الغنيّة في ضوء ضلال البعض (18:1-20).</w:t>
      </w:r>
    </w:p>
    <w:p w:rsidR="00000000" w:rsidRDefault="00BB70BD">
      <w:pPr>
        <w:pStyle w:val="1"/>
        <w:rPr>
          <w:rtl/>
        </w:rPr>
      </w:pPr>
      <w:r>
        <w:rPr>
          <w:b/>
          <w:bCs/>
          <w:rtl/>
        </w:rPr>
        <w:lastRenderedPageBreak/>
        <w:t>2- التصرّف في بيت اللّه بشأن الخدمة الكنسيّة (</w:t>
      </w:r>
      <w:r>
        <w:rPr>
          <w:b/>
          <w:bCs/>
          <w:rtl/>
        </w:rPr>
        <w:t>1:2-16:3)</w:t>
      </w:r>
      <w:r>
        <w:rPr>
          <w:rtl/>
        </w:rPr>
        <w:t>. ويعطي بولس بعد ذلك عدّة توصيات لتيموثاوس تتعلّق بسير الخدمة في كنيسة اللّه. فالصلوات الجماعيّة واجبة لخلاص الناس والحياة الهادئة، لأنّ رغبة اللّه هي إقبال الجميع إلى يسوع المسيح الوسيط الوحيد إلى الآب (1:2-8). أمّا المرأة في الكنيسة فيجب أن تتحلّى بالورع والتعقّل والأعمال الصالحة التي تزيّنها، وتكون في خضوع لسلطان الرجل بسبب ترتيب الخلق وأسبقيّة السقوط (9:2-15). ويمضي بولس في توصيته لتيموثاوس بشأن الخدمة فيعطيه المواصفات التي تساعده في انتخاب قادة الكنيسة. فالأسقف يجب أن يكون بلا لوم في حياته الش</w:t>
      </w:r>
      <w:r>
        <w:rPr>
          <w:rtl/>
        </w:rPr>
        <w:t>خصيّة والعائليّة (1:3-7). كذلك الشمامسة ونساء القادة يجب أن يكونوا بلا لوم من الناحية الشخصيّة والعائليّة الأمر الذي يظهر عن طريق وضعهم في الاختبار قبل تشميسهم (8:3-13). ويعبّر الرسول عن رغبته في زيارة تيموثاوس عن قريب وإن كان قد أعطاه هذه التعليمات ليعلم كيف يجب أن يرتّب الخدمة في كنيسة اللّه (14:3-16).</w:t>
      </w:r>
    </w:p>
    <w:p w:rsidR="00000000" w:rsidRDefault="00BB70BD">
      <w:pPr>
        <w:pStyle w:val="1"/>
        <w:rPr>
          <w:rtl/>
        </w:rPr>
      </w:pPr>
      <w:r>
        <w:rPr>
          <w:b/>
          <w:bCs/>
          <w:rtl/>
        </w:rPr>
        <w:t>3- التصرّف في بيت اللّه بشأن الممارسات الاجتماعيّة (1:4-21:6)</w:t>
      </w:r>
      <w:r>
        <w:rPr>
          <w:rtl/>
        </w:rPr>
        <w:t xml:space="preserve">. ينتقل الرسول بولس بعد هذا فيخبر تيموثاوس بأنّ الأزمنة الأخيرة ستُظهر ارتداداً عن الإيمان مؤسّساً على تعاليم شيطانيّة تخرّب طريق الحقّ (1:4-5). </w:t>
      </w:r>
      <w:r>
        <w:rPr>
          <w:rtl/>
        </w:rPr>
        <w:t>إلاّ أنّ الطريقة لمقاومة الارتداد تعتمد بالدرجة الأولى على تعليم الإيمان القويم الذي يجب أن يقترن بالعيش في حياة التقوى (6:4-10). ويذكّر بولس تيموثاوس في هذا السياق بأن يجتهد في تقديم نفسه قدوة للآخرين في التعليم والتقوى (11:4-16).</w:t>
      </w:r>
    </w:p>
    <w:p w:rsidR="00000000" w:rsidRDefault="00BB70BD">
      <w:pPr>
        <w:pStyle w:val="1"/>
        <w:rPr>
          <w:rtl/>
        </w:rPr>
      </w:pPr>
      <w:r>
        <w:rPr>
          <w:rtl/>
        </w:rPr>
        <w:t>من ثمّ يتناول الرسول بولس موضوع الإدارة في الكنيسة فيبدأ أوّل الأمر بالإشارة إلى وجوب تصحيح المنحرفين بوداعة. فالشيوخ والعجائز والحدثات بحاجة إلى تصحيح كأفراد العائلة الواحدة بكلّ وداعة وطهارة (1:5-2). أمّا بالنسبة للعناية بالأرامل فالأمر يتوقّف على نوعيّة الأرملة. فكمبدأ رئيسي ي</w:t>
      </w:r>
      <w:r>
        <w:rPr>
          <w:rtl/>
        </w:rPr>
        <w:t>جب على أهل البيت الاعتناء بأراملهم. لكن إن لم يكن ذلك متوفّراً فالأرملة التي توفّي شروطاً من حيث العمر والتقوى توضع على لائحة المساعدة الماديّة (3:5-10). لكن بالنسبة للأرامل الحدثات فالتوصية بشأنهنّ هي أن يتزوّجن ويلدن الأولاد لئلاّ يكنّ فرصة سهلة للشرّير (11:5-16). أمّا الشيوخ المدبّرون للكنيسة فيجب مكافأتهم ماديّاً ولا سيّما أولئك الذين يتعبون في خدمة الكلمة (17:5-18). ويمضي بولس في توصية تيموثاوس بالنسبة لتصحيح الشيوخ الذين يُخطئون مشدّداً على ضرورة الحرص على عدم الاشتراك في خطايا الآخرين عن طريق التسرّع</w:t>
      </w:r>
      <w:r>
        <w:rPr>
          <w:rtl/>
        </w:rPr>
        <w:t xml:space="preserve"> في تعيينهم في القيادة (19:5-25). ولا ينسى الرسول أن يشير إلى واجبات العبيد في الخضوع والإكرام لا سيّما إذا كان السادة مؤمنين (1:6-2).</w:t>
      </w:r>
    </w:p>
    <w:p w:rsidR="00BB70BD" w:rsidRDefault="00BB70BD">
      <w:pPr>
        <w:pStyle w:val="1"/>
        <w:rPr>
          <w:rtl/>
        </w:rPr>
      </w:pPr>
      <w:r>
        <w:rPr>
          <w:rtl/>
        </w:rPr>
        <w:t>في الختام يذكّر بولس تيموثاوس بأنّ حياة الخادم يحب أن تخلو من الدّوافع الماديّة، فالتقوى ليست تجارة كما يظنّ البعض، لكنّ لها منافع عظيمة إذا اقترنت بحياة القناعة والاكتفاء (3:6-8). فسيرة الخادم يجب أن تخلو من محبّة المال التي هي أصل لكلّ الشرور الأمر الذي أدّى بالكثيرين للانحراف عن حياة الإيمان (9:6-10). ويناشد بولس تيموثاوس في الختام أن يجاهد متمسّكاً بالإيمان والتقوى والحي</w:t>
      </w:r>
      <w:r>
        <w:rPr>
          <w:rtl/>
        </w:rPr>
        <w:t>اة الأبديّة وأن يحفظ التعليم في نقاوة إلى وقت ظهور الربّ (11:6-16). وبعدما يُعطي بعض التعليمات بشأن رجاء الأغنياء وضرورة سخائهم في حياة العطاء، يختم الرسول رسالته مذكّراً مرّة أخيرة تيموثاوس بأهميّة المحافظة على نقاوة التعليم والانفصال عن الكلام الباطل مستودعاً إيّاه لنعمة اللّه  الغنيّة (17:6-22).</w:t>
      </w:r>
    </w:p>
    <w:sectPr w:rsidR="00BB70BD">
      <w:headerReference w:type="even" r:id="rId6"/>
      <w:headerReference w:type="default" r:id="rId7"/>
      <w:endnotePr>
        <w:numFmt w:val="lowerLetter"/>
      </w:endnotePr>
      <w:pgSz w:w="12242" w:h="15842"/>
      <w:pgMar w:top="1701" w:right="1418" w:bottom="1701" w:left="1418" w:header="851" w:footer="851" w:gutter="0"/>
      <w:cols w:space="720"/>
      <w:titlePg/>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70BD" w:rsidRDefault="00BB70BD" w:rsidP="00362C44">
      <w:r>
        <w:separator/>
      </w:r>
    </w:p>
  </w:endnote>
  <w:endnote w:type="continuationSeparator" w:id="0">
    <w:p w:rsidR="00BB70BD" w:rsidRDefault="00BB70BD" w:rsidP="00362C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hifa Outline">
    <w:altName w:val="Times New Roman"/>
    <w:charset w:val="FF"/>
    <w:family w:val="auto"/>
    <w:pitch w:val="variable"/>
    <w:sig w:usb0="00000003" w:usb1="00000000" w:usb2="00000000" w:usb3="00000000" w:csb0="00000000" w:csb1="00000000"/>
  </w:font>
  <w:font w:name="AF_Najed">
    <w:altName w:val="Times New Roman"/>
    <w:charset w:val="FF"/>
    <w:family w:val="auto"/>
    <w:pitch w:val="variable"/>
    <w:sig w:usb0="00000003" w:usb1="00000000" w:usb2="00000000" w:usb3="00000000" w:csb0="00000000" w:csb1="00000000"/>
  </w:font>
  <w:font w:name="HASOOB">
    <w:altName w:val="Times New Roman"/>
    <w:charset w:val="FF"/>
    <w:family w:val="auto"/>
    <w:pitch w:val="variable"/>
    <w:sig w:usb0="00000003" w:usb1="00000000" w:usb2="00000000" w:usb3="00000000" w:csb0="00000000" w:csb1="00000000"/>
  </w:font>
  <w:font w:name="Sahifa">
    <w:altName w:val="Times New Roman"/>
    <w:charset w:val="FF"/>
    <w:family w:val="auto"/>
    <w:pitch w:val="variable"/>
    <w:sig w:usb0="00000003" w:usb1="00000000" w:usb2="00000000" w:usb3="00000000" w:csb0="00000000" w:csb1="00000000"/>
  </w:font>
  <w:font w:name="Tms Rmn">
    <w:panose1 w:val="02020603040505020304"/>
    <w:charset w:val="00"/>
    <w:family w:val="roman"/>
    <w:notTrueType/>
    <w:pitch w:val="variable"/>
    <w:sig w:usb0="00000003" w:usb1="00000000" w:usb2="00000000" w:usb3="00000000" w:csb0="00000001" w:csb1="00000000"/>
  </w:font>
  <w:font w:name="رقعةBoutros Rokaa">
    <w:charset w:val="FF"/>
    <w:family w:val="auto"/>
    <w:pitch w:val="variable"/>
    <w:sig w:usb0="00000003"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70BD" w:rsidRDefault="00BB70BD" w:rsidP="00362C44">
      <w:r>
        <w:separator/>
      </w:r>
    </w:p>
  </w:footnote>
  <w:footnote w:type="continuationSeparator" w:id="0">
    <w:p w:rsidR="00BB70BD" w:rsidRDefault="00BB70BD" w:rsidP="00362C44">
      <w:r>
        <w:continuationSeparator/>
      </w:r>
    </w:p>
  </w:footnote>
  <w:footnote w:id="1">
    <w:p w:rsidR="00000000" w:rsidRDefault="00BB70BD">
      <w:pPr>
        <w:pStyle w:val="FootnoteText"/>
        <w:rPr>
          <w:rtl/>
        </w:rPr>
      </w:pPr>
      <w:r>
        <w:rPr>
          <w:rStyle w:val="FootnoteReference"/>
          <w:rtl/>
        </w:rPr>
        <w:footnoteRef/>
      </w:r>
      <w:r>
        <w:rPr>
          <w:rtl/>
        </w:rPr>
        <w:t xml:space="preserve"> راجع </w:t>
      </w:r>
      <w:r>
        <w:t xml:space="preserve">B. Wilkinson, </w:t>
      </w:r>
      <w:r>
        <w:rPr>
          <w:i/>
          <w:iCs/>
        </w:rPr>
        <w:t>Talk Thru the Bible</w:t>
      </w:r>
      <w:r>
        <w:t xml:space="preserve">, 427; also, S. D. Toussaint, </w:t>
      </w:r>
      <w:r>
        <w:rPr>
          <w:i/>
          <w:iCs/>
        </w:rPr>
        <w:t>1 Timothy</w:t>
      </w:r>
      <w:r>
        <w:t>, Class Notes # 308, DTS, 1989</w:t>
      </w:r>
      <w:r>
        <w:rPr>
          <w:rtl/>
        </w:rPr>
        <w:t>.</w:t>
      </w:r>
    </w:p>
  </w:footnote>
  <w:footnote w:id="2">
    <w:p w:rsidR="00000000" w:rsidRDefault="00BB70BD">
      <w:pPr>
        <w:pStyle w:val="FootnoteText"/>
        <w:rPr>
          <w:rtl/>
        </w:rPr>
      </w:pPr>
      <w:r>
        <w:rPr>
          <w:rStyle w:val="FootnoteReference"/>
          <w:rtl/>
        </w:rPr>
        <w:footnoteRef/>
      </w:r>
      <w:r>
        <w:rPr>
          <w:rtl/>
        </w:rPr>
        <w:t xml:space="preserve"> يعتمد التخطيط تحت هذا العنوان على </w:t>
      </w:r>
      <w:r>
        <w:t xml:space="preserve">S. D. Toussaint, </w:t>
      </w:r>
      <w:r>
        <w:rPr>
          <w:i/>
          <w:iCs/>
        </w:rPr>
        <w:t>1 Timothy</w:t>
      </w:r>
      <w:r>
        <w:t>, Class Notes # 308, DTS, 1989</w:t>
      </w:r>
      <w:r>
        <w:rPr>
          <w:rt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B70BD">
    <w:pPr>
      <w:pStyle w:val="Head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Pr>
      <w:instrText xml:space="preserve"> </w:instrText>
    </w:r>
    <w:r>
      <w:rPr>
        <w:rStyle w:val="PageNumber"/>
        <w:rtl/>
      </w:rPr>
      <w:fldChar w:fldCharType="end"/>
    </w:r>
  </w:p>
  <w:p w:rsidR="00000000" w:rsidRDefault="00BB70BD">
    <w:pPr>
      <w:pStyle w:val="Header"/>
      <w:rPr>
        <w:rt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B70BD">
    <w:pPr>
      <w:pStyle w:val="Header"/>
      <w:framePr w:wrap="around" w:vAnchor="text" w:hAnchor="margin" w:xAlign="center" w:y="1"/>
      <w:rPr>
        <w:rStyle w:val="PageNumber"/>
        <w:rtl/>
      </w:rPr>
    </w:pPr>
    <w:r>
      <w:rPr>
        <w:rStyle w:val="PageNumber"/>
        <w:b/>
        <w:bCs/>
        <w:szCs w:val="28"/>
        <w:rtl/>
      </w:rPr>
      <w:fldChar w:fldCharType="begin"/>
    </w:r>
    <w:r>
      <w:rPr>
        <w:rStyle w:val="PageNumber"/>
        <w:b/>
        <w:bCs/>
        <w:szCs w:val="28"/>
      </w:rPr>
      <w:instrText xml:space="preserve">PAGE  </w:instrText>
    </w:r>
    <w:r>
      <w:rPr>
        <w:rStyle w:val="PageNumber"/>
        <w:b/>
        <w:bCs/>
        <w:szCs w:val="28"/>
        <w:rtl/>
      </w:rPr>
      <w:fldChar w:fldCharType="separate"/>
    </w:r>
    <w:r w:rsidR="004A270F">
      <w:rPr>
        <w:rStyle w:val="PageNumber"/>
        <w:b/>
        <w:bCs/>
        <w:noProof/>
        <w:szCs w:val="28"/>
        <w:rtl/>
      </w:rPr>
      <w:t>7</w:t>
    </w:r>
    <w:r>
      <w:rPr>
        <w:rStyle w:val="PageNumber"/>
        <w:b/>
        <w:bCs/>
        <w:szCs w:val="28"/>
        <w:rtl/>
      </w:rPr>
      <w:fldChar w:fldCharType="end"/>
    </w:r>
  </w:p>
  <w:p w:rsidR="00000000" w:rsidRDefault="00BB70BD">
    <w:pPr>
      <w:pStyle w:val="Header"/>
      <w:tabs>
        <w:tab w:val="clear" w:pos="8306"/>
        <w:tab w:val="right" w:pos="9406"/>
      </w:tabs>
      <w:rPr>
        <w:b/>
        <w:bCs/>
        <w:rtl/>
      </w:rPr>
    </w:pPr>
    <w:r>
      <w:rPr>
        <w:b/>
        <w:bCs/>
        <w:rtl/>
      </w:rPr>
      <w:t>العهد الجديد</w:t>
    </w:r>
    <w:r>
      <w:rPr>
        <w:b/>
        <w:bCs/>
        <w:rtl/>
      </w:rPr>
      <w:tab/>
    </w:r>
    <w:r>
      <w:rPr>
        <w:b/>
        <w:bCs/>
        <w:rtl/>
      </w:rPr>
      <w:tab/>
      <w:t>رسالة تيموثاوس الأولى</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numFmt w:val="lowerLetter"/>
    <w:endnote w:id="-1"/>
    <w:endnote w:id="0"/>
  </w:endnotePr>
  <w:compat>
    <w:balanceSingleByteDoubleByteWidth/>
    <w:doNotLeaveBackslashAlone/>
    <w:ulTrailSpace/>
    <w:doNotExpandShiftReturn/>
  </w:compat>
  <w:rsids>
    <w:rsidRoot w:val="004A270F"/>
    <w:rsid w:val="004A270F"/>
    <w:rsid w:val="00BB70B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bidi/>
      <w:adjustRightInd w:val="0"/>
      <w:textAlignment w:val="baseline"/>
    </w:pPr>
  </w:style>
  <w:style w:type="paragraph" w:styleId="Heading1">
    <w:name w:val="heading 1"/>
    <w:basedOn w:val="Normal"/>
    <w:next w:val="Heading2"/>
    <w:qFormat/>
    <w:pPr>
      <w:keepNext/>
      <w:pBdr>
        <w:top w:val="single" w:sz="24" w:space="1" w:color="auto" w:shadow="1"/>
        <w:left w:val="single" w:sz="24" w:space="1" w:color="auto" w:shadow="1"/>
        <w:bottom w:val="single" w:sz="24" w:space="1" w:color="auto" w:shadow="1"/>
        <w:right w:val="single" w:sz="24" w:space="1" w:color="auto" w:shadow="1"/>
      </w:pBdr>
      <w:shd w:val="pct25" w:color="auto" w:fill="auto"/>
      <w:spacing w:before="240" w:after="60"/>
      <w:jc w:val="center"/>
      <w:outlineLvl w:val="0"/>
    </w:pPr>
    <w:rPr>
      <w:rFonts w:ascii="Arial" w:hAnsi="Arial" w:cs="Sahifa Outline"/>
      <w:b/>
      <w:bCs/>
      <w:kern w:val="28"/>
      <w:sz w:val="28"/>
      <w:szCs w:val="72"/>
    </w:rPr>
  </w:style>
  <w:style w:type="paragraph" w:styleId="Heading2">
    <w:name w:val="heading 2"/>
    <w:basedOn w:val="Normal"/>
    <w:next w:val="Heading3"/>
    <w:qFormat/>
    <w:pPr>
      <w:keepNext/>
      <w:spacing w:before="240" w:after="60"/>
      <w:jc w:val="center"/>
      <w:outlineLvl w:val="1"/>
    </w:pPr>
    <w:rPr>
      <w:rFonts w:ascii="Arial" w:hAnsi="Arial" w:cs="AF_Najed"/>
      <w:sz w:val="23"/>
      <w:szCs w:val="56"/>
    </w:rPr>
  </w:style>
  <w:style w:type="paragraph" w:styleId="Heading3">
    <w:name w:val="heading 3"/>
    <w:basedOn w:val="Normal"/>
    <w:qFormat/>
    <w:pPr>
      <w:keepNext/>
      <w:spacing w:before="240" w:after="60"/>
      <w:outlineLvl w:val="2"/>
    </w:pPr>
    <w:rPr>
      <w:rFonts w:cs="HASOOB"/>
      <w:sz w:val="23"/>
      <w:szCs w:val="3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E1">
    <w:name w:val="OUTE1"/>
    <w:basedOn w:val="Normal"/>
    <w:pPr>
      <w:bidi w:val="0"/>
      <w:ind w:left="360" w:hanging="360"/>
      <w:jc w:val="both"/>
    </w:pPr>
    <w:rPr>
      <w:b/>
      <w:bCs/>
    </w:rPr>
  </w:style>
  <w:style w:type="paragraph" w:customStyle="1" w:styleId="OUTE2">
    <w:name w:val="OUTE2"/>
    <w:basedOn w:val="Normal"/>
    <w:pPr>
      <w:bidi w:val="0"/>
      <w:ind w:left="720" w:hanging="360"/>
      <w:jc w:val="both"/>
    </w:pPr>
  </w:style>
  <w:style w:type="paragraph" w:customStyle="1" w:styleId="OUTE4">
    <w:name w:val="OUTE4"/>
    <w:basedOn w:val="OUTE3"/>
    <w:pPr>
      <w:bidi/>
      <w:ind w:right="1440"/>
    </w:pPr>
  </w:style>
  <w:style w:type="paragraph" w:customStyle="1" w:styleId="OUTE3">
    <w:name w:val="OUTE3"/>
    <w:basedOn w:val="Normal"/>
    <w:pPr>
      <w:bidi w:val="0"/>
      <w:ind w:left="1080" w:hanging="360"/>
      <w:jc w:val="both"/>
    </w:pPr>
  </w:style>
  <w:style w:type="paragraph" w:customStyle="1" w:styleId="OUTE5">
    <w:name w:val="OUTE5"/>
    <w:basedOn w:val="OUTE4"/>
    <w:pPr>
      <w:ind w:right="1800"/>
    </w:pPr>
  </w:style>
  <w:style w:type="paragraph" w:customStyle="1" w:styleId="OUT1">
    <w:name w:val="OUT 1"/>
    <w:basedOn w:val="TOC1"/>
    <w:pPr>
      <w:tabs>
        <w:tab w:val="clear" w:pos="9071"/>
      </w:tabs>
      <w:ind w:left="424" w:hanging="424"/>
    </w:pPr>
    <w:rPr>
      <w:rFonts w:cs="Sahifa"/>
      <w:sz w:val="19"/>
      <w:szCs w:val="28"/>
    </w:rPr>
  </w:style>
  <w:style w:type="paragraph" w:styleId="TOC1">
    <w:name w:val="toc 1"/>
    <w:basedOn w:val="Normal"/>
    <w:next w:val="Normal"/>
    <w:semiHidden/>
    <w:pPr>
      <w:tabs>
        <w:tab w:val="right" w:leader="dot" w:pos="9071"/>
      </w:tabs>
    </w:pPr>
  </w:style>
  <w:style w:type="character" w:styleId="CommentReference">
    <w:name w:val="annotation reference"/>
    <w:basedOn w:val="DefaultParagraphFont"/>
    <w:semiHidden/>
    <w:rPr>
      <w:sz w:val="16"/>
      <w:szCs w:val="20"/>
    </w:rPr>
  </w:style>
  <w:style w:type="paragraph" w:styleId="CommentText">
    <w:name w:val="annotation text"/>
    <w:basedOn w:val="Normal"/>
    <w:semiHidden/>
  </w:style>
  <w:style w:type="paragraph" w:styleId="Bibliography">
    <w:name w:val="Bibliography"/>
    <w:basedOn w:val="Normal"/>
    <w:pPr>
      <w:bidi w:val="0"/>
      <w:spacing w:before="240"/>
      <w:ind w:left="720" w:hanging="720"/>
      <w:jc w:val="both"/>
    </w:pPr>
    <w:rPr>
      <w:rFonts w:ascii="Tms Rmn" w:hAnsi="Tms Rmn"/>
      <w:noProof/>
      <w:sz w:val="24"/>
      <w:szCs w:val="28"/>
    </w:rPr>
  </w:style>
  <w:style w:type="paragraph" w:styleId="Footer">
    <w:name w:val="footer"/>
    <w:basedOn w:val="Normal"/>
    <w:semiHidden/>
    <w:pPr>
      <w:tabs>
        <w:tab w:val="center" w:pos="4153"/>
        <w:tab w:val="right" w:pos="8306"/>
      </w:tabs>
    </w:pPr>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ind w:firstLine="566"/>
    </w:pPr>
  </w:style>
  <w:style w:type="paragraph" w:styleId="Header">
    <w:name w:val="header"/>
    <w:basedOn w:val="Normal"/>
    <w:semiHidden/>
    <w:pPr>
      <w:tabs>
        <w:tab w:val="center" w:pos="4153"/>
        <w:tab w:val="right" w:pos="8306"/>
      </w:tabs>
    </w:pPr>
  </w:style>
  <w:style w:type="paragraph" w:customStyle="1" w:styleId="OUT2">
    <w:name w:val="OUT 2"/>
    <w:basedOn w:val="TOC2"/>
    <w:pPr>
      <w:tabs>
        <w:tab w:val="clear" w:pos="9071"/>
      </w:tabs>
      <w:ind w:left="849" w:hanging="425"/>
    </w:pPr>
    <w:rPr>
      <w:b/>
      <w:bCs/>
      <w:szCs w:val="28"/>
    </w:rPr>
  </w:style>
  <w:style w:type="paragraph" w:styleId="TOC2">
    <w:name w:val="toc 2"/>
    <w:basedOn w:val="Normal"/>
    <w:next w:val="Normal"/>
    <w:semiHidden/>
    <w:pPr>
      <w:tabs>
        <w:tab w:val="right" w:leader="dot" w:pos="9071"/>
      </w:tabs>
      <w:ind w:left="200"/>
    </w:pPr>
  </w:style>
  <w:style w:type="paragraph" w:customStyle="1" w:styleId="OUT3">
    <w:name w:val="OUT 3"/>
    <w:basedOn w:val="OUT2"/>
    <w:pPr>
      <w:ind w:left="1274"/>
    </w:pPr>
    <w:rPr>
      <w:b w:val="0"/>
      <w:bCs w:val="0"/>
    </w:rPr>
  </w:style>
  <w:style w:type="paragraph" w:customStyle="1" w:styleId="OUT4">
    <w:name w:val="OUT 4"/>
    <w:basedOn w:val="OUT3"/>
    <w:pPr>
      <w:ind w:left="1700" w:hanging="426"/>
    </w:pPr>
    <w:rPr>
      <w:i/>
      <w:iCs/>
    </w:rPr>
  </w:style>
  <w:style w:type="paragraph" w:customStyle="1" w:styleId="OUT5">
    <w:name w:val="OUT 5"/>
    <w:basedOn w:val="OUT4"/>
    <w:pPr>
      <w:ind w:left="2125" w:hanging="425"/>
    </w:pPr>
    <w:rPr>
      <w:rFonts w:cs="رقعةBoutros Rokaa"/>
      <w:i w:val="0"/>
      <w:iCs w:val="0"/>
    </w:rPr>
  </w:style>
  <w:style w:type="paragraph" w:customStyle="1" w:styleId="OUT6">
    <w:name w:val="OUT 6"/>
    <w:basedOn w:val="OUT5"/>
    <w:pPr>
      <w:ind w:left="2550"/>
    </w:pPr>
  </w:style>
  <w:style w:type="character" w:styleId="PageNumber">
    <w:name w:val="page number"/>
    <w:basedOn w:val="DefaultParagraphFont"/>
    <w:semiHidden/>
  </w:style>
  <w:style w:type="paragraph" w:customStyle="1" w:styleId="a">
    <w:name w:val="فكرة رئيسيّة"/>
    <w:basedOn w:val="Normal"/>
    <w:next w:val="1"/>
    <w:pPr>
      <w:pBdr>
        <w:right w:val="single" w:sz="36" w:space="10" w:color="808080"/>
      </w:pBdr>
      <w:shd w:val="pct25" w:color="auto" w:fill="auto"/>
      <w:ind w:left="-1" w:firstLine="567"/>
    </w:pPr>
    <w:rPr>
      <w:b/>
      <w:bCs/>
      <w:szCs w:val="28"/>
    </w:rPr>
  </w:style>
  <w:style w:type="paragraph" w:customStyle="1" w:styleId="1">
    <w:name w:val="نمط1"/>
    <w:basedOn w:val="Normal"/>
    <w:pPr>
      <w:pBdr>
        <w:right w:val="single" w:sz="36" w:space="10" w:color="808080"/>
      </w:pBdr>
      <w:ind w:firstLine="567"/>
      <w:jc w:val="both"/>
    </w:pPr>
    <w:rPr>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2375</Words>
  <Characters>13541</Characters>
  <Application>Microsoft Office Word</Application>
  <DocSecurity>0</DocSecurity>
  <Lines>112</Lines>
  <Paragraphs>31</Paragraphs>
  <ScaleCrop>false</ScaleCrop>
  <Company/>
  <LinksUpToDate>false</LinksUpToDate>
  <CharactersWithSpaces>15885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أعمال الرسل</dc:title>
  <dc:creator>Tony Maalouf</dc:creator>
  <cp:lastModifiedBy>user</cp:lastModifiedBy>
  <cp:revision>2</cp:revision>
  <cp:lastPrinted>1996-06-10T13:56:00Z</cp:lastPrinted>
  <dcterms:created xsi:type="dcterms:W3CDTF">2021-12-14T07:55:00Z</dcterms:created>
  <dcterms:modified xsi:type="dcterms:W3CDTF">2021-12-14T07:55:00Z</dcterms:modified>
</cp:coreProperties>
</file>