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22044">
      <w:pPr>
        <w:pStyle w:val="Heading1"/>
        <w:rPr>
          <w:rtl/>
        </w:rPr>
      </w:pPr>
      <w:r>
        <w:rPr>
          <w:rtl/>
        </w:rPr>
        <w:t>رسالة تسالونيكي الثانية</w:t>
      </w:r>
    </w:p>
    <w:p w:rsidR="00000000" w:rsidRDefault="00422044">
      <w:pPr>
        <w:pStyle w:val="Heading2"/>
        <w:rPr>
          <w:rtl/>
        </w:rPr>
      </w:pPr>
      <w:r>
        <w:rPr>
          <w:rtl/>
        </w:rPr>
        <w:t>مقدّمة</w:t>
      </w:r>
    </w:p>
    <w:p w:rsidR="00000000" w:rsidRDefault="00422044">
      <w:pPr>
        <w:pStyle w:val="Heading3"/>
        <w:rPr>
          <w:rtl/>
        </w:rPr>
      </w:pPr>
      <w:r>
        <w:rPr>
          <w:rtl/>
        </w:rPr>
        <w:t xml:space="preserve">1- تأليف السفر </w:t>
      </w:r>
    </w:p>
    <w:p w:rsidR="00000000" w:rsidRDefault="00422044">
      <w:pPr>
        <w:pStyle w:val="1"/>
        <w:rPr>
          <w:rtl/>
        </w:rPr>
      </w:pPr>
      <w:r>
        <w:rPr>
          <w:rtl/>
        </w:rPr>
        <w:t xml:space="preserve">كتب رسالة تسالونيكي الثانية بولس الرسول (ومعه سلوانس، أي سيلا، وتيموثاوس). وتشهد </w:t>
      </w:r>
      <w:r>
        <w:rPr>
          <w:b/>
          <w:bCs/>
          <w:rtl/>
        </w:rPr>
        <w:t>الأدلّة الخارجيّة</w:t>
      </w:r>
      <w:r>
        <w:rPr>
          <w:rtl/>
        </w:rPr>
        <w:t xml:space="preserve"> بقوّة لأصالة الرسالة وصحّة تأليف بولس لها. ومن جملة الآباء الذين اقتبسوا تسالونيكي الثانية على أنّها لبولس نذك</w:t>
      </w:r>
      <w:r>
        <w:rPr>
          <w:rtl/>
        </w:rPr>
        <w:t xml:space="preserve">ر أغناطيوس (110 م.) وبوليكاربوس (110-150 م.) وإيريناوس (130-202 م.) ويوستنيان الشهيد (150-155 م.) وكليمانت الاسكندري (150-215 م.) وترتلّيان (150-220 م.) وأوريجين (185-254 م.) ويوسابيوس (325-340 م.) وجيروم (340-420 م.) وغيرهم من الآباء اللاّحقين. على أنّ </w:t>
      </w:r>
      <w:r>
        <w:rPr>
          <w:b/>
          <w:bCs/>
          <w:rtl/>
        </w:rPr>
        <w:t>الأدلّة الداخليّة</w:t>
      </w:r>
      <w:r>
        <w:rPr>
          <w:rtl/>
        </w:rPr>
        <w:t xml:space="preserve"> تشهد أيضاً لأصالة الرسالة وتأليف بولس لها. فافتتاحيّة الرسالة بحسب عادة بولس المشهود له فيها بالكتابة (1:1) يؤيّد الافتتاحيّة استخدام الكاتب لضمير مفرد المتكلّم (5:2؛ 17:3) وضمير جمع المتكلّم (3:1، 4، 11؛ 1:2؛ 1:3-11‎). إلاّ أنّ المشكّكين ه</w:t>
      </w:r>
      <w:r>
        <w:rPr>
          <w:rtl/>
        </w:rPr>
        <w:t>اجموا أصالة الرسالة بناءً على الأدلّة الداخليّة من جهة الأسلوب والموضوع واللّهجة القاسية التي فيها، لكنّ هذه الادّعاءات لا تثبت نظراً إلى الإثباتات التّالية: 1- يعالج بولس في تسالونيكي الثانية ناحية من علم النّهايات تختلف عمّا عالجه في الرسالة الأولى وهذا ما يفسّر الاختلاف بينهما. 2- لا ضرورة لاعتبار تعليم بولس عن تتابع الدينونات (الأبرار والأشرار) تعليماً لاحقاً، فالمسيح يعلّم به (متى 15:24-22؛ 31:25-46)، وبولس يوافق عليه في تعليمه (رو 5:2-10). 3- يبرّر اللّهجة القاسية في الرسالة صعوبة المشكلة التي كان يعا</w:t>
      </w:r>
      <w:r>
        <w:rPr>
          <w:rtl/>
        </w:rPr>
        <w:t>لجها الرسول في الرسالة، كما يبرّر الظرف الذي يكتب فيه الرسول اختلاف الأسلوب أيضاً في هذه الرسالة. هكذا يتثبّت تأليف بولس لهذه الرسالة.‎</w:t>
      </w:r>
    </w:p>
    <w:p w:rsidR="00000000" w:rsidRDefault="00422044">
      <w:pPr>
        <w:pStyle w:val="Heading3"/>
        <w:rPr>
          <w:rtl/>
        </w:rPr>
      </w:pPr>
      <w:r>
        <w:rPr>
          <w:rtl/>
        </w:rPr>
        <w:t>2- تأريخ السفر وظروف الكتابة</w:t>
      </w:r>
    </w:p>
    <w:p w:rsidR="00000000" w:rsidRDefault="00422044">
      <w:pPr>
        <w:pStyle w:val="1"/>
        <w:rPr>
          <w:rtl/>
        </w:rPr>
      </w:pPr>
      <w:r>
        <w:rPr>
          <w:b/>
          <w:bCs/>
          <w:rtl/>
        </w:rPr>
        <w:t>أ- مدينة تسالونيكي في العصر الرسولي</w:t>
      </w:r>
      <w:r>
        <w:rPr>
          <w:rtl/>
        </w:rPr>
        <w:t xml:space="preserve">. سميّت مدينة تسالونيكي بهذا الاسم سنة 315 ق. م. من  قِبل كاساندر تيمّناً بزوجته، أخت الإسكندر الكبير. وتقع المدينة على شواطئ بحر إيجه مشكّلة مرفأً تجاريّاً هامّاً. وزاد من ازدهار المدينة أيّام الرسول بولس وجودها على الطريق الرئيسي الذي كان يصل بين روما والشرق والذي يسمّى </w:t>
      </w:r>
      <w:r>
        <w:rPr>
          <w:i/>
          <w:iCs/>
        </w:rPr>
        <w:t>Via Egnatia</w:t>
      </w:r>
      <w:r>
        <w:rPr>
          <w:rtl/>
        </w:rPr>
        <w:t>، على مرأى من جبل الأولمب ال</w:t>
      </w:r>
      <w:r>
        <w:rPr>
          <w:rtl/>
        </w:rPr>
        <w:t>مركز الأسطوري لآلهة اليونان الوثنيّة. ونظراً لهذه الأهميّة الاستراتيجيّة فقد سميّت مدينة تسالونيكي "مفتاح مقاطعة مكدونيّة بأسرها." هذا وكان الرومان قد غزوا مكدونية سنة 168 ق. م. ونظّموها بعد 22 سنة من ذلك مقاطعةً واحدة جاعلين تسالونيكي عاصمة تلك المقاطعة. بيد أنّ تسالونيكي غدت تحت حكم الإمبراطور أغسطس مدينة حرّة لها سلطان في تعيين حكّامها الذاتيّين. وبلغ عدد سكّان المدينة في زمان بولس الرسول حوالي 000،200 نسمة وهذا ما جعلها أكبر مدينة في مكدونية. وكانت المدينة تحوي عدداً كبيراً من اليهود، وقد استقطبت الديان</w:t>
      </w:r>
      <w:r>
        <w:rPr>
          <w:rtl/>
        </w:rPr>
        <w:t>ة اليهوديّة بتركيزها على عبادة الإله الواحد وسموّ المستوى الأخلاقي الذي نادت به عدداً كبيراً من الأمم الذين لم يقبلوا مستويات الوثنيّة المنحطّة ومبدأ تعدّد الآلهة.</w:t>
      </w:r>
    </w:p>
    <w:p w:rsidR="00000000" w:rsidRDefault="00422044">
      <w:pPr>
        <w:pStyle w:val="1"/>
        <w:rPr>
          <w:rtl/>
        </w:rPr>
      </w:pPr>
      <w:r>
        <w:rPr>
          <w:b/>
          <w:bCs/>
          <w:rtl/>
        </w:rPr>
        <w:lastRenderedPageBreak/>
        <w:t>ب- تأسيس الكنيسة في تسالونيكي</w:t>
      </w:r>
      <w:r>
        <w:rPr>
          <w:rtl/>
        </w:rPr>
        <w:t>. بعدما كرز بولس وسيلا بالإنجيل في مدينة فيلبّي حيث دخلا السجن وقادا السجّان وأهل بيته إلى الربّ، خرج الرسولان بعد إطلاقهما فأتيا إلى مدينة تسالونيكي مجتازين في أمفيبوليس وأبولونيّة. ودخل بولس المجمع حيث حاجّ اليهود مدّة ثلاثة أسابيع كارزاً بالإنجيل. وهكذا اقتنع عدد من اليهود وكثيرون من اليونانيّين المتعبّدين ومن النّ</w:t>
      </w:r>
      <w:r>
        <w:rPr>
          <w:rtl/>
        </w:rPr>
        <w:t>ساء المتقدّمات. فغار منهم اليهود غير المؤمنين وألّبوا الشعب ضدّهم، وجّروا ياسون مضيّف بولس وسيلا إلى حكّام المدينة واضطرّوا بالتالي ياسون إلى التعهّد بإخراج بولس وسيلا من المدينة (1:17-10). فذهبا إلى بيريّة المدينة التي فحص أهلها الكتب بنشاط مؤمنين بالإنجيل (أع 11:17-12).لكنّ اليهود الذين من تسالونيكي تبعوهما وأثاروا اضطهاداً عليهما، وهكذا خرج بولس إلى أثينا تاركاً تيموثاوس وسيلا في بيريّة، الذين وافياه بعد ذلك إلى أثينا (1 تسا 1:3-2). بعد ذلك أرسل بولس تيموثاوس إلى تسالونيكي لتفقّد الكنيسة هناك أمّا هو فمض</w:t>
      </w:r>
      <w:r>
        <w:rPr>
          <w:rtl/>
        </w:rPr>
        <w:t>ى إلى كورنثوس حيث وافاه تيموثاوس لاحقاً إلى المدينة حاملاً تقريراً مفصّلاً ومسرّاً عن حالة الكنيسة في تسالونيكي (أع 1:18-5). بعد استلامه لهذا التقرير كتب بولس رسالته الأولى إلى تسالونيكي سنة 51 م.. لكن بعدما رجع الذي حمل الرسالة الأولى وأخبر بولس عن أحوال الكنيسة في تسالونيكي، قرّر بولس أن يرسل رسالة أخرى إلى الكنيسة هناك، ربّما بعد شهور قليلة من كتابته للرسالة الأولى سنة 51 م..</w:t>
      </w:r>
    </w:p>
    <w:p w:rsidR="00000000" w:rsidRDefault="00422044">
      <w:pPr>
        <w:pStyle w:val="Heading3"/>
        <w:rPr>
          <w:rtl/>
        </w:rPr>
      </w:pPr>
      <w:r>
        <w:rPr>
          <w:rtl/>
        </w:rPr>
        <w:t>3- خصائص السفر وأهدافه</w:t>
      </w:r>
    </w:p>
    <w:p w:rsidR="00000000" w:rsidRDefault="00422044">
      <w:pPr>
        <w:pStyle w:val="1"/>
        <w:rPr>
          <w:rtl/>
        </w:rPr>
      </w:pPr>
      <w:r>
        <w:rPr>
          <w:rtl/>
        </w:rPr>
        <w:t>لم تأتِ على ما يبدو رسالة تسالونيكي الأولى بالنتائج الكاملة التي كان يرجوها الرسول بولس بالنسبة لموضوع البط</w:t>
      </w:r>
      <w:r>
        <w:rPr>
          <w:rtl/>
        </w:rPr>
        <w:t xml:space="preserve">الة وظهور المسيح ثانية، لذلك لم يتأخّر في كتابة الرسالة الثانية لهم لكي يكمّل معالجة هذه المواضيع. لكنّ أحد الأغراض التي كتب الرسول من أجلها هو تشجيع المؤمنين ومدحهم لأجل نموّهم في الإيمان والمحبّة وثقتهم بالرب. وعلى ما يبدو أنّ التسالونيكيّين تسلّموا بعض التعاليم الخاطئة من معلّمين كذبة مفادها أنّهم الآن يعيشون في يوم الربّ (1:2-2) بسبب جسامة الاضطهاد الذي يعانون منه (14:2-16). لذلك كتب لهم بولس ليصحّح تلك التعاليم الخاطئة المختصّة بهذا الموضوع. فانحراف التعليم لجهة حضور يوم الربّ سبّب تشويشاً في الكنيسة، </w:t>
      </w:r>
      <w:r>
        <w:rPr>
          <w:rtl/>
        </w:rPr>
        <w:t>إذ كان كثيرون يتساءلون عن "موعد اجتماعنا إليه" (1:2؛ 1 تسا 13:4-18). وقد كتب لهم بولس مؤكّداً بأنّ يوم الرب لم يحضر بعد (1 تسا 4:5). أمّا الاعتقاد بحضور يوم الربّ فقد ولّد مشكلة أخرى وهي أنّ بعض المؤمنين تركوا أعمالهم متّكلين على غيرهم لتسديد الحاجات لظنّهم بأنّ النهاية قريبة والربّ آتٍ عن قريب (6:3-16).</w:t>
      </w:r>
    </w:p>
    <w:p w:rsidR="00000000" w:rsidRDefault="00422044">
      <w:pPr>
        <w:jc w:val="center"/>
        <w:rPr>
          <w:b/>
          <w:bCs/>
          <w:szCs w:val="28"/>
          <w:rtl/>
        </w:rPr>
      </w:pPr>
    </w:p>
    <w:tbl>
      <w:tblPr>
        <w:bidiVisual/>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B7"/>
      </w:tblPr>
      <w:tblGrid>
        <w:gridCol w:w="4811"/>
        <w:gridCol w:w="4811"/>
      </w:tblGrid>
      <w:tr w:rsidR="00000000">
        <w:tblPrEx>
          <w:tblCellMar>
            <w:top w:w="0" w:type="dxa"/>
            <w:bottom w:w="0" w:type="dxa"/>
          </w:tblCellMar>
        </w:tblPrEx>
        <w:tc>
          <w:tcPr>
            <w:tcW w:w="4811" w:type="dxa"/>
            <w:shd w:val="pct80" w:color="000000" w:fill="FFFFFF"/>
          </w:tcPr>
          <w:p w:rsidR="00000000" w:rsidRDefault="00422044">
            <w:pPr>
              <w:pStyle w:val="1"/>
              <w:pBdr>
                <w:right w:val="none" w:sz="0" w:space="0" w:color="auto"/>
              </w:pBdr>
              <w:ind w:firstLine="0"/>
              <w:jc w:val="center"/>
              <w:rPr>
                <w:b/>
                <w:bCs/>
                <w:color w:val="FFFFFF"/>
                <w:rtl/>
              </w:rPr>
            </w:pPr>
            <w:r>
              <w:rPr>
                <w:b/>
                <w:bCs/>
                <w:color w:val="FFFFFF"/>
                <w:rtl/>
              </w:rPr>
              <w:t>النهايات في تسالونيكي الأولى</w:t>
            </w:r>
          </w:p>
        </w:tc>
        <w:tc>
          <w:tcPr>
            <w:tcW w:w="4811" w:type="dxa"/>
            <w:shd w:val="pct80" w:color="000000" w:fill="FFFFFF"/>
          </w:tcPr>
          <w:p w:rsidR="00000000" w:rsidRDefault="00422044">
            <w:pPr>
              <w:pStyle w:val="1"/>
              <w:pBdr>
                <w:right w:val="none" w:sz="0" w:space="0" w:color="auto"/>
              </w:pBdr>
              <w:ind w:firstLine="0"/>
              <w:jc w:val="center"/>
              <w:rPr>
                <w:b/>
                <w:bCs/>
                <w:color w:val="FFFFFF"/>
                <w:rtl/>
              </w:rPr>
            </w:pPr>
            <w:r>
              <w:rPr>
                <w:b/>
                <w:bCs/>
                <w:color w:val="FFFFFF"/>
                <w:rtl/>
              </w:rPr>
              <w:t>النهايات في تسالونيكي الثانية</w:t>
            </w:r>
          </w:p>
        </w:tc>
      </w:tr>
      <w:tr w:rsidR="00000000">
        <w:tblPrEx>
          <w:tblCellMar>
            <w:top w:w="0" w:type="dxa"/>
            <w:bottom w:w="0" w:type="dxa"/>
          </w:tblCellMar>
        </w:tblPrEx>
        <w:tc>
          <w:tcPr>
            <w:tcW w:w="4811" w:type="dxa"/>
          </w:tcPr>
          <w:p w:rsidR="00000000" w:rsidRDefault="00422044">
            <w:pPr>
              <w:pStyle w:val="1"/>
              <w:pBdr>
                <w:right w:val="none" w:sz="0" w:space="0" w:color="auto"/>
              </w:pBdr>
              <w:ind w:firstLine="0"/>
              <w:jc w:val="center"/>
              <w:rPr>
                <w:rtl/>
              </w:rPr>
            </w:pPr>
            <w:r>
              <w:rPr>
                <w:rtl/>
              </w:rPr>
              <w:t>المجيء من أجل القدّيسين</w:t>
            </w:r>
          </w:p>
        </w:tc>
        <w:tc>
          <w:tcPr>
            <w:tcW w:w="4811" w:type="dxa"/>
          </w:tcPr>
          <w:p w:rsidR="00000000" w:rsidRDefault="00422044">
            <w:pPr>
              <w:pStyle w:val="1"/>
              <w:pBdr>
                <w:right w:val="none" w:sz="0" w:space="0" w:color="auto"/>
              </w:pBdr>
              <w:ind w:firstLine="0"/>
              <w:jc w:val="center"/>
              <w:rPr>
                <w:rtl/>
              </w:rPr>
            </w:pPr>
            <w:r>
              <w:rPr>
                <w:rtl/>
              </w:rPr>
              <w:t>المجيء مع القدّيسين</w:t>
            </w:r>
          </w:p>
        </w:tc>
      </w:tr>
      <w:tr w:rsidR="00000000">
        <w:tblPrEx>
          <w:tblCellMar>
            <w:top w:w="0" w:type="dxa"/>
            <w:bottom w:w="0" w:type="dxa"/>
          </w:tblCellMar>
        </w:tblPrEx>
        <w:tc>
          <w:tcPr>
            <w:tcW w:w="4811" w:type="dxa"/>
          </w:tcPr>
          <w:p w:rsidR="00000000" w:rsidRDefault="00422044">
            <w:pPr>
              <w:pStyle w:val="1"/>
              <w:pBdr>
                <w:right w:val="none" w:sz="0" w:space="0" w:color="auto"/>
              </w:pBdr>
              <w:ind w:firstLine="0"/>
              <w:jc w:val="center"/>
              <w:rPr>
                <w:rtl/>
              </w:rPr>
            </w:pPr>
            <w:r>
              <w:rPr>
                <w:rtl/>
              </w:rPr>
              <w:t>مجيء المسيح</w:t>
            </w:r>
          </w:p>
        </w:tc>
        <w:tc>
          <w:tcPr>
            <w:tcW w:w="4811" w:type="dxa"/>
          </w:tcPr>
          <w:p w:rsidR="00000000" w:rsidRDefault="00422044">
            <w:pPr>
              <w:pStyle w:val="1"/>
              <w:pBdr>
                <w:right w:val="none" w:sz="0" w:space="0" w:color="auto"/>
              </w:pBdr>
              <w:ind w:firstLine="0"/>
              <w:jc w:val="center"/>
              <w:rPr>
                <w:rtl/>
              </w:rPr>
            </w:pPr>
            <w:r>
              <w:rPr>
                <w:rtl/>
              </w:rPr>
              <w:t>مجيء ضدّ المسيح</w:t>
            </w:r>
          </w:p>
        </w:tc>
      </w:tr>
      <w:tr w:rsidR="00000000">
        <w:tblPrEx>
          <w:tblCellMar>
            <w:top w:w="0" w:type="dxa"/>
            <w:bottom w:w="0" w:type="dxa"/>
          </w:tblCellMar>
        </w:tblPrEx>
        <w:tc>
          <w:tcPr>
            <w:tcW w:w="4811" w:type="dxa"/>
          </w:tcPr>
          <w:p w:rsidR="00000000" w:rsidRDefault="00422044">
            <w:pPr>
              <w:pStyle w:val="1"/>
              <w:pBdr>
                <w:right w:val="none" w:sz="0" w:space="0" w:color="auto"/>
              </w:pBdr>
              <w:ind w:firstLine="0"/>
              <w:jc w:val="center"/>
              <w:rPr>
                <w:rtl/>
              </w:rPr>
            </w:pPr>
            <w:r>
              <w:rPr>
                <w:rtl/>
              </w:rPr>
              <w:t>يوم المسيح</w:t>
            </w:r>
          </w:p>
        </w:tc>
        <w:tc>
          <w:tcPr>
            <w:tcW w:w="4811" w:type="dxa"/>
          </w:tcPr>
          <w:p w:rsidR="00000000" w:rsidRDefault="00422044">
            <w:pPr>
              <w:pStyle w:val="1"/>
              <w:pBdr>
                <w:right w:val="none" w:sz="0" w:space="0" w:color="auto"/>
              </w:pBdr>
              <w:ind w:firstLine="0"/>
              <w:jc w:val="center"/>
              <w:rPr>
                <w:rtl/>
              </w:rPr>
            </w:pPr>
            <w:r>
              <w:rPr>
                <w:rtl/>
              </w:rPr>
              <w:t>يوم الربّ</w:t>
            </w:r>
          </w:p>
        </w:tc>
      </w:tr>
      <w:tr w:rsidR="00000000">
        <w:tblPrEx>
          <w:tblCellMar>
            <w:top w:w="0" w:type="dxa"/>
            <w:bottom w:w="0" w:type="dxa"/>
          </w:tblCellMar>
        </w:tblPrEx>
        <w:tc>
          <w:tcPr>
            <w:tcW w:w="4811" w:type="dxa"/>
          </w:tcPr>
          <w:p w:rsidR="00000000" w:rsidRDefault="00422044">
            <w:pPr>
              <w:pStyle w:val="1"/>
              <w:pBdr>
                <w:right w:val="none" w:sz="0" w:space="0" w:color="auto"/>
              </w:pBdr>
              <w:ind w:firstLine="0"/>
              <w:jc w:val="center"/>
              <w:rPr>
                <w:rtl/>
              </w:rPr>
            </w:pPr>
            <w:r>
              <w:rPr>
                <w:rtl/>
              </w:rPr>
              <w:t>تركّز على التعزية</w:t>
            </w:r>
          </w:p>
        </w:tc>
        <w:tc>
          <w:tcPr>
            <w:tcW w:w="4811" w:type="dxa"/>
          </w:tcPr>
          <w:p w:rsidR="00000000" w:rsidRDefault="00422044">
            <w:pPr>
              <w:pStyle w:val="1"/>
              <w:pBdr>
                <w:right w:val="none" w:sz="0" w:space="0" w:color="auto"/>
              </w:pBdr>
              <w:ind w:firstLine="0"/>
              <w:jc w:val="center"/>
              <w:rPr>
                <w:rtl/>
              </w:rPr>
            </w:pPr>
            <w:r>
              <w:rPr>
                <w:rtl/>
              </w:rPr>
              <w:t>تركّز على التّصحيح</w:t>
            </w:r>
          </w:p>
        </w:tc>
      </w:tr>
    </w:tbl>
    <w:p w:rsidR="00000000" w:rsidRDefault="00422044">
      <w:pPr>
        <w:pStyle w:val="Heading2"/>
        <w:rPr>
          <w:rtl/>
        </w:rPr>
      </w:pPr>
      <w:r>
        <w:rPr>
          <w:rtl/>
        </w:rPr>
        <w:br w:type="page"/>
      </w:r>
      <w:r>
        <w:rPr>
          <w:rtl/>
        </w:rPr>
        <w:lastRenderedPageBreak/>
        <w:t>مخطّط تمهي</w:t>
      </w:r>
      <w:r>
        <w:rPr>
          <w:rtl/>
        </w:rPr>
        <w:t>دي موجز</w:t>
      </w:r>
    </w:p>
    <w:p w:rsidR="00000000" w:rsidRDefault="00422044">
      <w:pPr>
        <w:pStyle w:val="OUT1"/>
        <w:rPr>
          <w:rtl/>
        </w:rPr>
      </w:pPr>
      <w:r>
        <w:rPr>
          <w:rtl/>
        </w:rPr>
        <w:t>1-</w:t>
      </w:r>
      <w:r>
        <w:rPr>
          <w:rtl/>
        </w:rPr>
        <w:tab/>
        <w:t>بولس يشجّع التسالونيكيّين على التمسّك بالربّ في ضوء الاضطهادات الحاضرة (1:1-12)</w:t>
      </w:r>
    </w:p>
    <w:p w:rsidR="00000000" w:rsidRDefault="00422044">
      <w:pPr>
        <w:pStyle w:val="OUT1"/>
        <w:rPr>
          <w:rtl/>
        </w:rPr>
      </w:pPr>
      <w:r>
        <w:rPr>
          <w:rtl/>
        </w:rPr>
        <w:t>2-</w:t>
      </w:r>
      <w:r>
        <w:rPr>
          <w:rtl/>
        </w:rPr>
        <w:tab/>
        <w:t>بولس يشرح موضوع يوم الربّ في ضوء التشويش في التعاليم المتداولة (1:2-17)</w:t>
      </w:r>
    </w:p>
    <w:p w:rsidR="00000000" w:rsidRDefault="00422044">
      <w:pPr>
        <w:pStyle w:val="OUT1"/>
        <w:rPr>
          <w:rtl/>
        </w:rPr>
      </w:pPr>
      <w:r>
        <w:rPr>
          <w:rtl/>
        </w:rPr>
        <w:t>3-</w:t>
      </w:r>
      <w:r>
        <w:rPr>
          <w:rtl/>
        </w:rPr>
        <w:tab/>
        <w:t>بولس يحثّ التسالونيكيّين على السلوك في ترتيب في ضوء الفوضى الحاصلة (1:3-18)</w:t>
      </w:r>
    </w:p>
    <w:p w:rsidR="00000000" w:rsidRDefault="00422044">
      <w:pPr>
        <w:pStyle w:val="OUT1"/>
        <w:rPr>
          <w:rtl/>
        </w:rPr>
      </w:pPr>
    </w:p>
    <w:p w:rsidR="00000000" w:rsidRDefault="00422044">
      <w:pPr>
        <w:pStyle w:val="Heading2"/>
        <w:rPr>
          <w:rtl/>
        </w:rPr>
      </w:pPr>
      <w:r>
        <w:rPr>
          <w:rtl/>
        </w:rPr>
        <w:t>مخطّط تمهيدي مفصّل</w:t>
      </w:r>
    </w:p>
    <w:p w:rsidR="00000000" w:rsidRDefault="00422044">
      <w:pPr>
        <w:pStyle w:val="OUT1"/>
        <w:rPr>
          <w:rtl/>
        </w:rPr>
      </w:pPr>
      <w:r>
        <w:rPr>
          <w:rtl/>
        </w:rPr>
        <w:t>1-</w:t>
      </w:r>
      <w:r>
        <w:rPr>
          <w:rtl/>
        </w:rPr>
        <w:tab/>
        <w:t>بولس يشجّع التسالونيكيّين على التمسّك بالربّ في ضوء الاضطهادات الحاضرة (1:1-12)</w:t>
      </w:r>
    </w:p>
    <w:p w:rsidR="00000000" w:rsidRDefault="00422044">
      <w:pPr>
        <w:pStyle w:val="OUT2"/>
        <w:rPr>
          <w:rtl/>
        </w:rPr>
      </w:pPr>
      <w:r>
        <w:rPr>
          <w:rtl/>
        </w:rPr>
        <w:t>أ.</w:t>
      </w:r>
      <w:r>
        <w:rPr>
          <w:rtl/>
        </w:rPr>
        <w:tab/>
        <w:t>شكر الرسول لأجل التسالونيكيّين مردّه نموّ إيمانهم الكبير في المحبّة (1:1-3)</w:t>
      </w:r>
    </w:p>
    <w:p w:rsidR="00000000" w:rsidRDefault="00422044">
      <w:pPr>
        <w:pStyle w:val="OUT3"/>
        <w:rPr>
          <w:rtl/>
        </w:rPr>
      </w:pPr>
      <w:r>
        <w:rPr>
          <w:rtl/>
        </w:rPr>
        <w:t>1.</w:t>
      </w:r>
      <w:r>
        <w:rPr>
          <w:rtl/>
        </w:rPr>
        <w:tab/>
        <w:t>الافتتاحيّة الرسوليّة (1:1-2)</w:t>
      </w:r>
    </w:p>
    <w:p w:rsidR="00000000" w:rsidRDefault="00422044">
      <w:pPr>
        <w:pStyle w:val="OUT3"/>
        <w:rPr>
          <w:rtl/>
        </w:rPr>
      </w:pPr>
      <w:r>
        <w:rPr>
          <w:rtl/>
        </w:rPr>
        <w:t>2.</w:t>
      </w:r>
      <w:r>
        <w:rPr>
          <w:rtl/>
        </w:rPr>
        <w:tab/>
        <w:t>الصلاة الرسوليّة الشاكرة (3:1)</w:t>
      </w:r>
    </w:p>
    <w:p w:rsidR="00000000" w:rsidRDefault="00422044">
      <w:pPr>
        <w:pStyle w:val="OUT2"/>
        <w:rPr>
          <w:rtl/>
        </w:rPr>
      </w:pPr>
      <w:r>
        <w:rPr>
          <w:rtl/>
        </w:rPr>
        <w:t>ب.</w:t>
      </w:r>
      <w:r>
        <w:rPr>
          <w:rtl/>
        </w:rPr>
        <w:tab/>
        <w:t>تشجيع بولس للتس</w:t>
      </w:r>
      <w:r>
        <w:rPr>
          <w:rtl/>
        </w:rPr>
        <w:t>الونيكيّين مدفوع بحقيقة الاضطهاد الكبير الحاصل عليهم (4:1-10)</w:t>
      </w:r>
    </w:p>
    <w:p w:rsidR="00000000" w:rsidRDefault="00422044">
      <w:pPr>
        <w:pStyle w:val="OUT3"/>
        <w:rPr>
          <w:rtl/>
        </w:rPr>
      </w:pPr>
      <w:r>
        <w:rPr>
          <w:rtl/>
        </w:rPr>
        <w:t>1.</w:t>
      </w:r>
      <w:r>
        <w:rPr>
          <w:rtl/>
        </w:rPr>
        <w:tab/>
        <w:t>فخر الرسول في صبر التسالونيكيّين على الضيقات التي تؤهّلهم للملكوت (4:1-5)</w:t>
      </w:r>
    </w:p>
    <w:p w:rsidR="00000000" w:rsidRDefault="00422044">
      <w:pPr>
        <w:pStyle w:val="OUT3"/>
        <w:rPr>
          <w:rtl/>
        </w:rPr>
      </w:pPr>
      <w:r>
        <w:rPr>
          <w:rtl/>
        </w:rPr>
        <w:t>2.</w:t>
      </w:r>
      <w:r>
        <w:rPr>
          <w:rtl/>
        </w:rPr>
        <w:tab/>
        <w:t>الربّ سيجازي كلّ واحد بحسب أعماله عند مجيئه (6:1-7)</w:t>
      </w:r>
    </w:p>
    <w:p w:rsidR="00000000" w:rsidRDefault="00422044">
      <w:pPr>
        <w:pStyle w:val="OUT3"/>
        <w:rPr>
          <w:rtl/>
        </w:rPr>
      </w:pPr>
      <w:r>
        <w:rPr>
          <w:rtl/>
        </w:rPr>
        <w:t>3.</w:t>
      </w:r>
      <w:r>
        <w:rPr>
          <w:rtl/>
        </w:rPr>
        <w:tab/>
        <w:t xml:space="preserve">الربّ سيهلك الأشرار عند ظهوره المجيد (8:1-10) </w:t>
      </w:r>
    </w:p>
    <w:p w:rsidR="00000000" w:rsidRDefault="00422044">
      <w:pPr>
        <w:pStyle w:val="OUT2"/>
        <w:rPr>
          <w:rtl/>
        </w:rPr>
      </w:pPr>
      <w:r>
        <w:rPr>
          <w:rtl/>
        </w:rPr>
        <w:t>ج.</w:t>
      </w:r>
      <w:r>
        <w:rPr>
          <w:rtl/>
        </w:rPr>
        <w:tab/>
        <w:t>صلاة بولس لأجل التسالونيكيّين ترجو تقدّمهم في الإيمان لمجد المسيح (11:1-12)</w:t>
      </w:r>
    </w:p>
    <w:p w:rsidR="00000000" w:rsidRDefault="00422044">
      <w:pPr>
        <w:pStyle w:val="OUT1"/>
        <w:rPr>
          <w:rtl/>
        </w:rPr>
      </w:pPr>
      <w:r>
        <w:rPr>
          <w:rtl/>
        </w:rPr>
        <w:t>2-</w:t>
      </w:r>
      <w:r>
        <w:rPr>
          <w:rtl/>
        </w:rPr>
        <w:tab/>
        <w:t>بولس يشرح موضوع يوم الربّ في ضوء التشويش في التعاليم المتداولة (1:2-17)</w:t>
      </w:r>
    </w:p>
    <w:p w:rsidR="00000000" w:rsidRDefault="00422044">
      <w:pPr>
        <w:pStyle w:val="OUT2"/>
        <w:rPr>
          <w:rtl/>
        </w:rPr>
      </w:pPr>
      <w:r>
        <w:rPr>
          <w:rtl/>
        </w:rPr>
        <w:t>أ.</w:t>
      </w:r>
      <w:r>
        <w:rPr>
          <w:rtl/>
        </w:rPr>
        <w:tab/>
        <w:t>بولس يعدّد في شرحه ترتيب الأحداث التي ستسبق يوم الربّ (1:2-12)</w:t>
      </w:r>
    </w:p>
    <w:p w:rsidR="00000000" w:rsidRDefault="00422044">
      <w:pPr>
        <w:pStyle w:val="OUT3"/>
        <w:rPr>
          <w:rtl/>
        </w:rPr>
      </w:pPr>
      <w:r>
        <w:rPr>
          <w:rtl/>
        </w:rPr>
        <w:t>1.</w:t>
      </w:r>
      <w:r>
        <w:rPr>
          <w:rtl/>
        </w:rPr>
        <w:tab/>
        <w:t>ينبغي أن يأتي الارتداد أوّلاً (1:2-3)</w:t>
      </w:r>
    </w:p>
    <w:p w:rsidR="00000000" w:rsidRDefault="00422044">
      <w:pPr>
        <w:pStyle w:val="OUT3"/>
        <w:rPr>
          <w:rtl/>
        </w:rPr>
      </w:pPr>
      <w:r>
        <w:rPr>
          <w:rtl/>
        </w:rPr>
        <w:t>2.</w:t>
      </w:r>
      <w:r>
        <w:rPr>
          <w:rtl/>
        </w:rPr>
        <w:tab/>
        <w:t>ينبغ</w:t>
      </w:r>
      <w:r>
        <w:rPr>
          <w:rtl/>
        </w:rPr>
        <w:t>ي أن يستعلن إنسان الخطيّة ثانياً (4:2-5)</w:t>
      </w:r>
    </w:p>
    <w:p w:rsidR="00000000" w:rsidRDefault="00422044">
      <w:pPr>
        <w:pStyle w:val="OUT3"/>
        <w:rPr>
          <w:rtl/>
        </w:rPr>
      </w:pPr>
      <w:r>
        <w:rPr>
          <w:rtl/>
        </w:rPr>
        <w:t>3.</w:t>
      </w:r>
      <w:r>
        <w:rPr>
          <w:rtl/>
        </w:rPr>
        <w:tab/>
        <w:t>يجب أن يرفع الذي يحجز قبل استعلان الأثيم (6:2-7)</w:t>
      </w:r>
    </w:p>
    <w:p w:rsidR="00000000" w:rsidRDefault="00422044">
      <w:pPr>
        <w:pStyle w:val="OUT3"/>
        <w:rPr>
          <w:rtl/>
        </w:rPr>
      </w:pPr>
      <w:r>
        <w:rPr>
          <w:rtl/>
        </w:rPr>
        <w:t>4.</w:t>
      </w:r>
      <w:r>
        <w:rPr>
          <w:rtl/>
        </w:rPr>
        <w:tab/>
        <w:t>مجيء المسيح ثانية لدينونة الأثيم والأشرار (8:2-12)</w:t>
      </w:r>
    </w:p>
    <w:p w:rsidR="00000000" w:rsidRDefault="00422044">
      <w:pPr>
        <w:pStyle w:val="OUT2"/>
        <w:rPr>
          <w:rtl/>
        </w:rPr>
      </w:pPr>
      <w:r>
        <w:rPr>
          <w:rtl/>
        </w:rPr>
        <w:t>ب.</w:t>
      </w:r>
      <w:r>
        <w:rPr>
          <w:rtl/>
        </w:rPr>
        <w:tab/>
        <w:t>بولس يشدّد على أنّ حقيقة الخلاص مصدر تعزية للمؤمنين في يوم الربّ (13:2-17)</w:t>
      </w:r>
    </w:p>
    <w:p w:rsidR="00000000" w:rsidRDefault="00422044">
      <w:pPr>
        <w:pStyle w:val="OUT1"/>
        <w:rPr>
          <w:rtl/>
        </w:rPr>
      </w:pPr>
      <w:r>
        <w:rPr>
          <w:rtl/>
        </w:rPr>
        <w:t>3-</w:t>
      </w:r>
      <w:r>
        <w:rPr>
          <w:rtl/>
        </w:rPr>
        <w:tab/>
        <w:t>بولس يحثّ التسالونيكيّين على السلوك في ترتيب في ضوء الفوضى الحاصلة (1:3-18)</w:t>
      </w:r>
    </w:p>
    <w:p w:rsidR="00000000" w:rsidRDefault="00422044">
      <w:pPr>
        <w:pStyle w:val="OUT2"/>
        <w:rPr>
          <w:rtl/>
        </w:rPr>
      </w:pPr>
      <w:r>
        <w:rPr>
          <w:rtl/>
        </w:rPr>
        <w:t>أ.</w:t>
      </w:r>
      <w:r>
        <w:rPr>
          <w:rtl/>
        </w:rPr>
        <w:tab/>
        <w:t>بولس يحثّ التسالونيكيّين على الصبر لأجل المسيح (1:3-5)</w:t>
      </w:r>
    </w:p>
    <w:p w:rsidR="00000000" w:rsidRDefault="00422044">
      <w:pPr>
        <w:pStyle w:val="OUT3"/>
        <w:rPr>
          <w:rtl/>
        </w:rPr>
      </w:pPr>
      <w:r>
        <w:rPr>
          <w:rtl/>
        </w:rPr>
        <w:t>1.</w:t>
      </w:r>
      <w:r>
        <w:rPr>
          <w:rtl/>
        </w:rPr>
        <w:tab/>
        <w:t>بولس يطلب صلاة لأجل تأييد الربّ لخدمتهم وحمايته لهم من الأشرار (1:3-2)</w:t>
      </w:r>
    </w:p>
    <w:p w:rsidR="00000000" w:rsidRDefault="00422044">
      <w:pPr>
        <w:pStyle w:val="OUT3"/>
        <w:rPr>
          <w:rtl/>
        </w:rPr>
      </w:pPr>
      <w:r>
        <w:rPr>
          <w:rtl/>
        </w:rPr>
        <w:t>2.</w:t>
      </w:r>
      <w:r>
        <w:rPr>
          <w:rtl/>
        </w:rPr>
        <w:tab/>
        <w:t>بولس يجدّد الثقة بحماية الربّ للتسالونيكيّين راجياً لهم صبر المسيح (3:1-5</w:t>
      </w:r>
      <w:r>
        <w:rPr>
          <w:rtl/>
        </w:rPr>
        <w:t>)</w:t>
      </w:r>
    </w:p>
    <w:p w:rsidR="00000000" w:rsidRDefault="00422044">
      <w:pPr>
        <w:pStyle w:val="OUT2"/>
        <w:rPr>
          <w:rtl/>
        </w:rPr>
      </w:pPr>
      <w:r>
        <w:rPr>
          <w:rtl/>
        </w:rPr>
        <w:t>ب.</w:t>
      </w:r>
      <w:r>
        <w:rPr>
          <w:rtl/>
        </w:rPr>
        <w:tab/>
        <w:t>بولس يشدّد على ضرورة الترتيب والانفصال عن الفضوليّين الذين لا يشتغلون (6:3-16)</w:t>
      </w:r>
    </w:p>
    <w:p w:rsidR="00000000" w:rsidRDefault="00422044">
      <w:pPr>
        <w:pStyle w:val="OUT3"/>
        <w:rPr>
          <w:rtl/>
        </w:rPr>
      </w:pPr>
      <w:r>
        <w:rPr>
          <w:rtl/>
        </w:rPr>
        <w:t>1.</w:t>
      </w:r>
      <w:r>
        <w:rPr>
          <w:rtl/>
        </w:rPr>
        <w:tab/>
        <w:t>وصيّة بولس إلى التسالونيكيّين تشدّد على ضرورة اجتناب السالكين بلا ترتيب (6:3)</w:t>
      </w:r>
    </w:p>
    <w:p w:rsidR="00000000" w:rsidRDefault="00422044">
      <w:pPr>
        <w:pStyle w:val="OUT3"/>
        <w:rPr>
          <w:rtl/>
        </w:rPr>
      </w:pPr>
      <w:r>
        <w:rPr>
          <w:rtl/>
        </w:rPr>
        <w:t>2.</w:t>
      </w:r>
      <w:r>
        <w:rPr>
          <w:rtl/>
        </w:rPr>
        <w:tab/>
        <w:t>بولس ورفاقه لم يستخدموا سلطانهم ليقدّموا نفوسهم قدوة في الترتيب للتسالونيكيّين (7:3-9)</w:t>
      </w:r>
    </w:p>
    <w:p w:rsidR="00000000" w:rsidRDefault="00422044">
      <w:pPr>
        <w:pStyle w:val="OUT3"/>
        <w:rPr>
          <w:rtl/>
        </w:rPr>
      </w:pPr>
      <w:r>
        <w:rPr>
          <w:rtl/>
        </w:rPr>
        <w:t>3.</w:t>
      </w:r>
      <w:r>
        <w:rPr>
          <w:rtl/>
        </w:rPr>
        <w:tab/>
        <w:t>من يريد أن يأكل عليه أن يشتغل أيضاً (10:3-12)</w:t>
      </w:r>
    </w:p>
    <w:p w:rsidR="00000000" w:rsidRDefault="00422044">
      <w:pPr>
        <w:pStyle w:val="OUT3"/>
        <w:rPr>
          <w:rtl/>
        </w:rPr>
      </w:pPr>
      <w:r>
        <w:rPr>
          <w:rtl/>
        </w:rPr>
        <w:t>4.</w:t>
      </w:r>
      <w:r>
        <w:rPr>
          <w:rtl/>
        </w:rPr>
        <w:tab/>
        <w:t>غير المطيعين يقعون تحت التأديب (13:3-16)</w:t>
      </w:r>
    </w:p>
    <w:p w:rsidR="00000000" w:rsidRDefault="00422044">
      <w:pPr>
        <w:pStyle w:val="OUT2"/>
        <w:rPr>
          <w:rtl/>
        </w:rPr>
      </w:pPr>
      <w:r>
        <w:rPr>
          <w:rtl/>
        </w:rPr>
        <w:t>ج.</w:t>
      </w:r>
      <w:r>
        <w:rPr>
          <w:rtl/>
        </w:rPr>
        <w:tab/>
        <w:t>تحيّة الرسول الختاميّة (17:3-18)</w:t>
      </w:r>
    </w:p>
    <w:p w:rsidR="00000000" w:rsidRDefault="00422044">
      <w:pPr>
        <w:pStyle w:val="Heading3"/>
        <w:rPr>
          <w:rtl/>
        </w:rPr>
      </w:pPr>
    </w:p>
    <w:p w:rsidR="00000000" w:rsidRDefault="00422044">
      <w:pPr>
        <w:pStyle w:val="Heading2"/>
        <w:rPr>
          <w:rtl/>
        </w:rPr>
      </w:pPr>
      <w:r>
        <w:rPr>
          <w:rtl/>
        </w:rPr>
        <w:t>موجز السفر</w:t>
      </w:r>
    </w:p>
    <w:p w:rsidR="00000000" w:rsidRDefault="00422044">
      <w:pPr>
        <w:pStyle w:val="Heading3"/>
        <w:rPr>
          <w:rtl/>
        </w:rPr>
      </w:pPr>
      <w:r>
        <w:rPr>
          <w:rtl/>
        </w:rPr>
        <w:t>فكرة السفر الرئيسيّة</w:t>
      </w:r>
    </w:p>
    <w:p w:rsidR="00000000" w:rsidRDefault="00422044">
      <w:pPr>
        <w:pStyle w:val="a"/>
        <w:rPr>
          <w:rtl/>
        </w:rPr>
      </w:pPr>
      <w:r>
        <w:rPr>
          <w:rtl/>
        </w:rPr>
        <w:t>في ضوء التعليم بأن يوم الربّ قد حضر وتوقّف البعض عن الشغل في انتظار المجيء الثاني للمسيح يكتب ب</w:t>
      </w:r>
      <w:r>
        <w:rPr>
          <w:rtl/>
        </w:rPr>
        <w:t>ولس إلى التسالونيكيّين ليشجّعهم على التمسّك بالربّ في ضوء الاضطهادات الحاضرة وليشرح لهم برنامج يوم الربّ في ضوء التعاليم المضلّة وليحثّهم على الشغل من أجل الأكل في ضوء الفوضى الحاصلة.</w:t>
      </w:r>
    </w:p>
    <w:p w:rsidR="00000000" w:rsidRDefault="00422044">
      <w:pPr>
        <w:pStyle w:val="1"/>
        <w:rPr>
          <w:rtl/>
        </w:rPr>
      </w:pPr>
    </w:p>
    <w:p w:rsidR="00000000" w:rsidRDefault="00422044">
      <w:pPr>
        <w:pStyle w:val="1"/>
        <w:rPr>
          <w:rtl/>
        </w:rPr>
      </w:pPr>
      <w:r>
        <w:rPr>
          <w:rtl/>
        </w:rPr>
        <w:t>تأتي الرسالة الثانية إلى التسالونيكيّين كتكملة للرسالة الأولى وتوضيح لمحتوياتها خاصّة تلك التي تتعلّق بمجيء يوم الربّ. فعلى ما يبدو أنّ بعضهم بدأ يعلّم تعليماً خاطئاً بين التسالونيكيّين الذين كانوا يجتازون في ضيقات شديدة قائلين لهم بأنّ يوم الربّ قد حضر. وربّما كان هؤلاء المعلّمون يستغلّون كتابة بولس في الرسالة الأولى عن المو</w:t>
      </w:r>
      <w:r>
        <w:rPr>
          <w:rtl/>
        </w:rPr>
        <w:t>ضوع فيسيئون تفسير أقوال بولس سواء عن قصد أو عن غير قصد. وهكذا إذ ظنّ الكثيرون أنّ مجيء المسيح بات على الأبواب لأنّهم يعيشون في يوم الربّ توقّف البعض عن الأعمال وصاروا عبئاً على الآخرين بحجّة انتظار الربّ. ويقسم بولس رسالته الثانية إلى التسالونيكيّين إلى ثلاثة أقسام: 1- بولس يشجّع التسالونيكيّين على التمسّك بالربّ في ضوء الاضطهادات الحاضرة (1:1-12). 2- بولس يشرح موضوع يوم الربّ في ضوء التشويش في التعاليم المتداولة (1:2-17). 3- بولس يحثّ التسالونيكيّين على السلوك في ترتيب في ضوء الفوضى الحاصلة (1:3-18).</w:t>
      </w:r>
    </w:p>
    <w:p w:rsidR="00000000" w:rsidRDefault="00422044">
      <w:pPr>
        <w:pStyle w:val="1"/>
        <w:rPr>
          <w:rtl/>
        </w:rPr>
      </w:pPr>
      <w:r>
        <w:rPr>
          <w:rtl/>
        </w:rPr>
        <w:t xml:space="preserve"> </w:t>
      </w:r>
      <w:r>
        <w:rPr>
          <w:b/>
          <w:bCs/>
          <w:rtl/>
        </w:rPr>
        <w:t>1- ب</w:t>
      </w:r>
      <w:r>
        <w:rPr>
          <w:b/>
          <w:bCs/>
          <w:rtl/>
        </w:rPr>
        <w:t>ولس يشجّع التسالونيكيّين على التمسّك بالربّ في ضوء الاضطهادات الحاضرة (1:1-12)</w:t>
      </w:r>
      <w:r>
        <w:rPr>
          <w:rtl/>
        </w:rPr>
        <w:t>. يفتتح الرسول بولس رسالته هذه تماماً كما افتتح رسالته الأولى إلى التسالونيكيّين، مقدّماً معه شركاءه في الخدمة تيموثاوس وسلوانس. ثمّ يشكر اللّه لأجل نموّ قرّائه في الإيمان والمحبّة (1:1-3). من ثمّ يشجّع بولس التسالونيكيّين على الثبات في الضيقات، مفتخراً بصبرهم ومجاهدتهم في الآلام، الأمر الذي يُظهر أنّهم مؤهّلون لملكوت اللّه (4:1-5). لكن لا ينسى بولس أن يُذكّر التسالونيكيّين بأنّ اللّه سيجازي الذين يضايقونهم ضيقاً في حين سيدخلهم هم</w:t>
      </w:r>
      <w:r>
        <w:rPr>
          <w:rtl/>
        </w:rPr>
        <w:t xml:space="preserve"> إلى الراحة الأبديّة عند مجيئه (6:1-7)، حيث أنّه سيهلك الأشرار عند ظهوره المجيد منتقماً من المتمرّدين العصاة الذين لا يعرفون اللّه (8:1-10). ويختم بولس هذا الجزء من رسالته مصلّياً أن يكمّل اللّه عمله في التسالونيكيّين من أجل تقدّمهم في الإيمان لمجد المسيح (11:1-12).</w:t>
      </w:r>
    </w:p>
    <w:p w:rsidR="00000000" w:rsidRDefault="00422044">
      <w:pPr>
        <w:pStyle w:val="1"/>
        <w:rPr>
          <w:rtl/>
        </w:rPr>
      </w:pPr>
      <w:r>
        <w:rPr>
          <w:b/>
          <w:bCs/>
          <w:rtl/>
        </w:rPr>
        <w:t xml:space="preserve">2- بولس يشرح موضوع يوم الربّ في ضوء التشويش في التعاليم المتداولة (1:2-17). </w:t>
      </w:r>
      <w:r>
        <w:rPr>
          <w:rtl/>
        </w:rPr>
        <w:t xml:space="preserve">وينتقل الرسول بولس في الجزء التالي من الرسالة فيتناول موضوع برنامج يوم الربّ. فبعض المشوّشين الذين ربّما أساءوا تفسير تعليم بولس في الرسالة الأولى عن هذا الموضوع، بثّوا </w:t>
      </w:r>
      <w:r>
        <w:rPr>
          <w:rtl/>
        </w:rPr>
        <w:t>بين التسالونيكيّين فكرة حضور يوم الربّ خاصّة بالنظر إلى الضيق الحاضر بينهم (1:2-2). وهكذا بعد نفي صحّة هذا التعليم عن يوم الربّ يبدأ بولس بتعداد الأحداث التي يجب أن تسبق مجيء هذا اليوم (3:2-12). فيوم الربّ لا يأتي إن لم يأتِ أوّلاً ارتداد العالم الواسع عن الإيمان (3:2) وظهور ابن الهلاك، إنسان الخطيّة، الذي سيكلّل حركة الارتداد العالمي عن اللّه (3:2-4). وبالمقارنة مع دانيال 27:9؛ 11:12؛ و متى 15:24 و 1 يوحنّا 18:2 و رؤيا 7:11؛ 1:13-10 نستطيع أن نتبيّن بأنّ إنسان الخطيّة هذا ما هو إلاّ "ضدّ المسيح" الذي سيحكم</w:t>
      </w:r>
      <w:r>
        <w:rPr>
          <w:rtl/>
        </w:rPr>
        <w:t xml:space="preserve"> العالم خلال فترة الضيقة العظيمة (رؤ 13). لكنّ بولس يؤكّد للتسالونيكيّين بأنّه يجب أوّلاً رفع الذي يحجز من الوسط قبل استعلان ضدّ المسيح. وبالطبع فهم التسالونيكيّون طبيعة الذي يحجز الأمر الذي ربّما شرح لهم عنه أثناء </w:t>
      </w:r>
      <w:r>
        <w:rPr>
          <w:rtl/>
        </w:rPr>
        <w:lastRenderedPageBreak/>
        <w:t xml:space="preserve">وجوده معهم (راجع 5:2). والأرجح هو أنّ الذي يحجز هو الكنيسة بعمل الروح القدس فيها الذي يحدّد عمل الشرّير جاعلاً سرّ الإثم يعمل إلى الآن (6:2-7). لكن عندما يُرفع من الوسط الذي يحجز فحينئذ سيستعلن الأثيم. لكنّ الربّ في مجيئه الثاني في المجد، سيبيده مع من اتّبعوه، خاصّة إذ نعلم أنّه سيسود على النّاس </w:t>
      </w:r>
      <w:r>
        <w:rPr>
          <w:rtl/>
        </w:rPr>
        <w:t>عن طريق عمل الضلال والآيات الكاذبة حتّى يصدّقه جميع الذين لم يسرّوا بالحقّ بل بالإثمّ (8:2-12).</w:t>
      </w:r>
    </w:p>
    <w:p w:rsidR="00000000" w:rsidRDefault="00422044">
      <w:pPr>
        <w:pStyle w:val="1"/>
        <w:rPr>
          <w:rtl/>
        </w:rPr>
      </w:pPr>
      <w:r>
        <w:rPr>
          <w:rtl/>
        </w:rPr>
        <w:t>وإذ يتحدّث بولس عن موضوع الدينونة الرهيب يشكر اللّه مرّة ثانية من أجل التسالونيكيّين الذين آمنوا بالإنجيل لخلاص نفوسهم مثبّتين اختيار اللّه لهم لاقتناء المجد بالإيمان في المسيح (13:2-14). ثمّ يشجّعهم على الثبات في الحقّ الذي تعلّموه منه مصلّياً أن يملأهم الربّ كلّ تعزية بالروح القدس (15:2-17).</w:t>
      </w:r>
    </w:p>
    <w:p w:rsidR="00422044" w:rsidRDefault="00422044">
      <w:pPr>
        <w:pStyle w:val="1"/>
        <w:rPr>
          <w:rtl/>
        </w:rPr>
      </w:pPr>
      <w:r>
        <w:rPr>
          <w:b/>
          <w:bCs/>
          <w:rtl/>
        </w:rPr>
        <w:t>3- بولس يحثّ التسالونيكيّين على السلوك في ترتيب في ضوء الفوضى الحاصلة (1:3-18)</w:t>
      </w:r>
      <w:r>
        <w:rPr>
          <w:rtl/>
        </w:rPr>
        <w:t>. في الجزء الأخير من الرسالة يطلب بولس من ا</w:t>
      </w:r>
      <w:r>
        <w:rPr>
          <w:rtl/>
        </w:rPr>
        <w:t>لتسالونيكيّين الصلاة لأجل تأييد الربّ لخدمتهم وحمايته لهم من الأشرار (1:3-2). ثمّ يجدّد الثقة بحماية الربّ لهم راجياً لهم أن يتحلّوا بصبر المسيح في مواجهة الاضطهادات القاسية عليهم (3:1-5). من ثمّ يشدّد الرسول بولس على ضرورة الترتيب في الكنيسة والانفصال عن الفضوليّين الذين لا يشتغلون في بحث مستفيض (6:3-16). فهو إذ يوصي التسالونيكيّين بضرورة اجتناب السالكين بلا ترتيب، أي الذين لا يشتغلون بحجّة اقتراب مجيء الربّ (6:3)، يقدّم بولس مع رفاقه قدوة في الترتيب للتسالونيكيّين (7:3-9). فمن يريد أن يأكل عليه أن يشتغل أ</w:t>
      </w:r>
      <w:r>
        <w:rPr>
          <w:rtl/>
        </w:rPr>
        <w:t>يضاً (10:3-12). وينهي بولس معالجة هذا الموضوع بالتشديد على أنّ غير المطيعين سيقعون تحت التأديب الكنسي بالانفصال عنهم (13:3-16). ويختم الرسول هذه الرسالة ببركة ختاميّة تشدّد على السلام الذي يمنحه ربُّ السلام بنعمته (17:3-18).</w:t>
      </w:r>
    </w:p>
    <w:sectPr w:rsidR="00422044">
      <w:headerReference w:type="even" r:id="rId6"/>
      <w:headerReference w:type="default" r:id="rId7"/>
      <w:endnotePr>
        <w:numFmt w:val="lowerLetter"/>
      </w:endnotePr>
      <w:pgSz w:w="12242" w:h="15842"/>
      <w:pgMar w:top="1701" w:right="1418" w:bottom="1701" w:left="1418" w:header="851" w:footer="851" w:gutter="0"/>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044" w:rsidRDefault="00422044" w:rsidP="00362C44">
      <w:r>
        <w:separator/>
      </w:r>
    </w:p>
  </w:endnote>
  <w:endnote w:type="continuationSeparator" w:id="0">
    <w:p w:rsidR="00422044" w:rsidRDefault="00422044" w:rsidP="00362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Times New Roman"/>
    <w:charset w:val="FF"/>
    <w:family w:val="auto"/>
    <w:pitch w:val="variable"/>
    <w:sig w:usb0="00000003" w:usb1="00000000" w:usb2="00000000" w:usb3="00000000" w:csb0="00000000" w:csb1="00000000"/>
  </w:font>
  <w:font w:name="AF_Najed">
    <w:altName w:val="Times New Roman"/>
    <w:charset w:val="FF"/>
    <w:family w:val="auto"/>
    <w:pitch w:val="variable"/>
    <w:sig w:usb0="00000003" w:usb1="00000000" w:usb2="00000000" w:usb3="00000000" w:csb0="00000000" w:csb1="00000000"/>
  </w:font>
  <w:font w:name="HASOOB">
    <w:altName w:val="Times New Roman"/>
    <w:charset w:val="FF"/>
    <w:family w:val="auto"/>
    <w:pitch w:val="variable"/>
    <w:sig w:usb0="00000003" w:usb1="00000000" w:usb2="00000000" w:usb3="00000000" w:csb0="00000000" w:csb1="00000000"/>
  </w:font>
  <w:font w:name="Sahifa">
    <w:altName w:val="Times New Roman"/>
    <w:charset w:val="FF"/>
    <w:family w:val="auto"/>
    <w:pitch w:val="variable"/>
    <w:sig w:usb0="00000003"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رقعةBoutros Rokaa">
    <w:charset w:val="FF"/>
    <w:family w:val="auto"/>
    <w:pitch w:val="variable"/>
    <w:sig w:usb0="00000003"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044" w:rsidRDefault="00422044" w:rsidP="00362C44">
      <w:r>
        <w:separator/>
      </w:r>
    </w:p>
  </w:footnote>
  <w:footnote w:type="continuationSeparator" w:id="0">
    <w:p w:rsidR="00422044" w:rsidRDefault="00422044" w:rsidP="00362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22044">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00000" w:rsidRDefault="00422044">
    <w:pPr>
      <w:pStyle w:val="Header"/>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22044">
    <w:pPr>
      <w:pStyle w:val="Header"/>
      <w:framePr w:wrap="around" w:vAnchor="text" w:hAnchor="margin" w:xAlign="center" w:y="1"/>
      <w:rPr>
        <w:rStyle w:val="PageNumber"/>
        <w:rtl/>
      </w:rPr>
    </w:pPr>
    <w:r>
      <w:rPr>
        <w:rStyle w:val="PageNumber"/>
        <w:b/>
        <w:bCs/>
        <w:szCs w:val="28"/>
        <w:rtl/>
      </w:rPr>
      <w:fldChar w:fldCharType="begin"/>
    </w:r>
    <w:r>
      <w:rPr>
        <w:rStyle w:val="PageNumber"/>
        <w:b/>
        <w:bCs/>
        <w:szCs w:val="28"/>
      </w:rPr>
      <w:instrText xml:space="preserve">PAGE  </w:instrText>
    </w:r>
    <w:r>
      <w:rPr>
        <w:rStyle w:val="PageNumber"/>
        <w:b/>
        <w:bCs/>
        <w:szCs w:val="28"/>
        <w:rtl/>
      </w:rPr>
      <w:fldChar w:fldCharType="separate"/>
    </w:r>
    <w:r w:rsidR="004C4BA1">
      <w:rPr>
        <w:rStyle w:val="PageNumber"/>
        <w:b/>
        <w:bCs/>
        <w:noProof/>
        <w:szCs w:val="28"/>
        <w:rtl/>
      </w:rPr>
      <w:t>5</w:t>
    </w:r>
    <w:r>
      <w:rPr>
        <w:rStyle w:val="PageNumber"/>
        <w:b/>
        <w:bCs/>
        <w:szCs w:val="28"/>
        <w:rtl/>
      </w:rPr>
      <w:fldChar w:fldCharType="end"/>
    </w:r>
  </w:p>
  <w:p w:rsidR="00000000" w:rsidRDefault="00422044">
    <w:pPr>
      <w:pStyle w:val="Header"/>
      <w:tabs>
        <w:tab w:val="clear" w:pos="8306"/>
        <w:tab w:val="right" w:pos="9406"/>
      </w:tabs>
      <w:rPr>
        <w:b/>
        <w:bCs/>
        <w:rtl/>
      </w:rPr>
    </w:pPr>
    <w:r>
      <w:rPr>
        <w:b/>
        <w:bCs/>
        <w:rtl/>
      </w:rPr>
      <w:t>العهد الجديد</w:t>
    </w:r>
    <w:r>
      <w:rPr>
        <w:b/>
        <w:bCs/>
        <w:rtl/>
      </w:rPr>
      <w:tab/>
    </w:r>
    <w:r>
      <w:rPr>
        <w:b/>
        <w:bCs/>
        <w:rtl/>
      </w:rPr>
      <w:tab/>
      <w:t>رسالة تسالونيكي الثانية</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compat>
  <w:rsids>
    <w:rsidRoot w:val="004C4BA1"/>
    <w:rsid w:val="00422044"/>
    <w:rsid w:val="004C4B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E1">
    <w:name w:val="OUTE1"/>
    <w:basedOn w:val="Normal"/>
    <w:pPr>
      <w:bidi w:val="0"/>
      <w:ind w:left="360" w:hanging="360"/>
      <w:jc w:val="both"/>
    </w:pPr>
    <w:rPr>
      <w:b/>
      <w:bCs/>
    </w:rPr>
  </w:style>
  <w:style w:type="paragraph" w:customStyle="1" w:styleId="OUTE2">
    <w:name w:val="OUTE2"/>
    <w:basedOn w:val="Normal"/>
    <w:pPr>
      <w:bidi w:val="0"/>
      <w:ind w:left="720" w:hanging="360"/>
      <w:jc w:val="both"/>
    </w:pPr>
  </w:style>
  <w:style w:type="paragraph" w:customStyle="1" w:styleId="OUTE4">
    <w:name w:val="OUTE4"/>
    <w:basedOn w:val="OUTE3"/>
    <w:pPr>
      <w:bidi/>
      <w:ind w:right="1440"/>
    </w:pPr>
  </w:style>
  <w:style w:type="paragraph" w:customStyle="1" w:styleId="OUTE3">
    <w:name w:val="OUTE3"/>
    <w:basedOn w:val="Normal"/>
    <w:pPr>
      <w:bidi w:val="0"/>
      <w:ind w:left="1080" w:hanging="360"/>
      <w:jc w:val="both"/>
    </w:pPr>
  </w:style>
  <w:style w:type="paragraph" w:customStyle="1" w:styleId="OUTE5">
    <w:name w:val="OUTE5"/>
    <w:basedOn w:val="OUTE4"/>
    <w:pPr>
      <w:ind w:right="1800"/>
    </w:pPr>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paragraph" w:styleId="Bibliography">
    <w:name w:val="Bibliography"/>
    <w:basedOn w:val="Normal"/>
    <w:pPr>
      <w:bidi w:val="0"/>
      <w:spacing w:before="240"/>
      <w:ind w:left="720" w:hanging="720"/>
      <w:jc w:val="both"/>
    </w:pPr>
    <w:rPr>
      <w:rFonts w:ascii="Tms Rmn" w:hAnsi="Tms Rmn"/>
      <w:noProof/>
      <w:sz w:val="24"/>
      <w:szCs w:val="28"/>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ind w:firstLine="566"/>
    </w:pPr>
  </w:style>
  <w:style w:type="paragraph" w:styleId="Header">
    <w:name w:val="header"/>
    <w:basedOn w:val="Normal"/>
    <w:semiHidden/>
    <w:pPr>
      <w:tabs>
        <w:tab w:val="center" w:pos="4153"/>
        <w:tab w:val="right" w:pos="8306"/>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rPr>
      <w:b w:val="0"/>
      <w:bCs w:val="0"/>
    </w:rPr>
  </w:style>
  <w:style w:type="paragraph" w:customStyle="1" w:styleId="OUT4">
    <w:name w:val="OUT 4"/>
    <w:basedOn w:val="OUT3"/>
    <w:pPr>
      <w:ind w:left="1700" w:hanging="426"/>
    </w:pPr>
    <w:rPr>
      <w:i/>
      <w:iCs/>
    </w:rPr>
  </w:style>
  <w:style w:type="paragraph" w:customStyle="1" w:styleId="OUT5">
    <w:name w:val="OUT 5"/>
    <w:basedOn w:val="OUT4"/>
    <w:pPr>
      <w:ind w:left="2125" w:hanging="425"/>
    </w:pPr>
    <w:rPr>
      <w:rFonts w:cs="رقعةBoutros Rokaa"/>
      <w:i w:val="0"/>
      <w:iCs w:val="0"/>
    </w:rPr>
  </w:style>
  <w:style w:type="paragraph" w:customStyle="1" w:styleId="OUT6">
    <w:name w:val="OUT 6"/>
    <w:basedOn w:val="OUT5"/>
    <w:pPr>
      <w:ind w:left="2550"/>
    </w:pPr>
  </w:style>
  <w:style w:type="character" w:styleId="PageNumber">
    <w:name w:val="page number"/>
    <w:basedOn w:val="DefaultParagraphFont"/>
    <w:semiHidden/>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1676</Words>
  <Characters>9557</Characters>
  <Application>Microsoft Office Word</Application>
  <DocSecurity>0</DocSecurity>
  <Lines>79</Lines>
  <Paragraphs>22</Paragraphs>
  <ScaleCrop>false</ScaleCrop>
  <Company/>
  <LinksUpToDate>false</LinksUpToDate>
  <CharactersWithSpaces>11211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أعمال الرسل</dc:title>
  <dc:creator>Tony Maalouf</dc:creator>
  <cp:lastModifiedBy>user</cp:lastModifiedBy>
  <cp:revision>2</cp:revision>
  <cp:lastPrinted>1601-01-01T00:00:00Z</cp:lastPrinted>
  <dcterms:created xsi:type="dcterms:W3CDTF">2021-12-14T07:57:00Z</dcterms:created>
  <dcterms:modified xsi:type="dcterms:W3CDTF">2021-12-14T07:57:00Z</dcterms:modified>
</cp:coreProperties>
</file>