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C7D43">
      <w:pPr>
        <w:pStyle w:val="Heading1"/>
        <w:rPr>
          <w:rtl/>
        </w:rPr>
      </w:pPr>
      <w:r>
        <w:rPr>
          <w:rtl/>
        </w:rPr>
        <w:t>رسالة كولوسّي</w:t>
      </w:r>
    </w:p>
    <w:p w:rsidR="00000000" w:rsidRDefault="00BC7D43">
      <w:pPr>
        <w:pStyle w:val="Heading2"/>
        <w:rPr>
          <w:rtl/>
        </w:rPr>
      </w:pPr>
      <w:r>
        <w:rPr>
          <w:rtl/>
        </w:rPr>
        <w:t>مقدّمة</w:t>
      </w:r>
    </w:p>
    <w:p w:rsidR="00000000" w:rsidRDefault="00BC7D43">
      <w:pPr>
        <w:pStyle w:val="Heading3"/>
        <w:rPr>
          <w:rtl/>
        </w:rPr>
      </w:pPr>
      <w:r>
        <w:rPr>
          <w:rtl/>
        </w:rPr>
        <w:t>1- تأليف السفر</w:t>
      </w:r>
    </w:p>
    <w:p w:rsidR="00000000" w:rsidRDefault="00BC7D43">
      <w:pPr>
        <w:pStyle w:val="1"/>
        <w:rPr>
          <w:rtl/>
        </w:rPr>
      </w:pPr>
      <w:r>
        <w:rPr>
          <w:rtl/>
        </w:rPr>
        <w:t xml:space="preserve">تؤكّد </w:t>
      </w:r>
      <w:r>
        <w:rPr>
          <w:b/>
          <w:bCs/>
          <w:rtl/>
        </w:rPr>
        <w:t>الأدلّة الداخليّة</w:t>
      </w:r>
      <w:r>
        <w:rPr>
          <w:rtl/>
        </w:rPr>
        <w:t xml:space="preserve"> حقيقة تأليف بولس الرسول لهذه الرسالة، وبالإمكان اختصارها كما يلي: 1- يشير الرسول بولس إلى نفسه على أنّه كاتب الرسالة وذلك في عدّة أماكن منها. ففي الافتتاحيّة يَرد اسمه بالإضافة إلى اسم تيموثاوس شر</w:t>
      </w:r>
      <w:r>
        <w:rPr>
          <w:rtl/>
        </w:rPr>
        <w:t>يكه المعروف في الخدمة، كما يرد اسمه أيضاً في 23:1الخ حيث يستخدم عبارته المميّزة "أنا بولس."</w:t>
      </w:r>
      <w:r>
        <w:rPr>
          <w:rStyle w:val="FootnoteReference"/>
          <w:rtl/>
        </w:rPr>
        <w:footnoteReference w:id="1"/>
      </w:r>
      <w:r>
        <w:rPr>
          <w:rtl/>
        </w:rPr>
        <w:t xml:space="preserve"> 2- يتّبع الكاتب بعض التقاليد البولسيّة كما في إهداء السلام من الإخوة والإشارة إلى قيوده (راجع 8:4-18). 3- توجد ارتباطات كبيرة بين رسالتي كولوسّي وفيلمون. ففي الرسالتين نجد ذكر تيموثاوس في الإفتتاحيّة؛ كما يُهدي بولس السلام في ختام الرسالتين من الأشخاص ذاتهم (كو 10:4-14؛ فل 23-24)؛ كما يرد ذكر أونسيمس الراجع إلى فيلمون مع تيخيكس في كولوسي كحاملي الرسالة (راجع كو 9:4)، بالإضافة إلى أرخبّس المذكور في رسالة فيلمون (فل 2</w:t>
      </w:r>
      <w:r>
        <w:rPr>
          <w:rtl/>
        </w:rPr>
        <w:t>) يشجّعه كاتب رسالة كولوسّي على تتميم خدمته الموكلة له من الربّ (كو 17:4). أمّا بالنّسبة</w:t>
      </w:r>
      <w:r>
        <w:rPr>
          <w:b/>
          <w:bCs/>
          <w:rtl/>
        </w:rPr>
        <w:t xml:space="preserve"> للأدلّة الخارجيّة</w:t>
      </w:r>
      <w:r>
        <w:rPr>
          <w:rtl/>
        </w:rPr>
        <w:t>، فشهادة آباء الكنيسة لصحّة تأليف بولس لهذه الرسالة تعود إلى بوليكاربوس (110-150 م.) ويوستنيان الشهيد (150 م.) وأغناطيوس (110 م.) وكثيرين من الآباء اللاّحقين. كما أدرج ماركيون الهرطوقي هذه الرسالة في جملة أسفاره القانونيّة (140 م.) وأدخلها القانون الموراتوري في عداد كتابات بولس القانونيّة أيضاً (170 م.).</w:t>
      </w:r>
    </w:p>
    <w:p w:rsidR="00000000" w:rsidRDefault="00BC7D43">
      <w:pPr>
        <w:pStyle w:val="1"/>
        <w:rPr>
          <w:rtl/>
        </w:rPr>
      </w:pPr>
      <w:r>
        <w:rPr>
          <w:rtl/>
        </w:rPr>
        <w:t>على أنّ بعض الدارسين المتحرّرين المعاصرين شكّكوا في صحّة تأليف بولس لهذه الرسالة مستندين على الاختلا</w:t>
      </w:r>
      <w:r>
        <w:rPr>
          <w:rtl/>
        </w:rPr>
        <w:t>ف الموجود فيها، من جهة الأسلوب واستخدام المفردات والفكر اللاّهوتي، مقارنة بالرسائل البولسيّة الأخرى. فرسالة كولوسّي تستخدم 55 عبارة يونانيّة لم يتمّ استخدامها في أيّ من الرسائل البولسيّة الأخرى ممّا يرجّح، كما يظنّ المشكّكون بأصالة الرسالة، أنّ كولوسّي كُتبت في القرن الثاني الميلادي لمحاربة بدعة الأدريّة التي نشأت حينذاك. علاوة على ذلك، فإنّ صورة المسيح الخالق الأكوان، تتناسب مع ما كتبه يوحنّا في إنجيله في مرحلة متأخّرة من القرن الأوّل ولا تتماشى مع لاهوت بولس من جهة المسيح، كما يدّعون. لكنّ هذه الحجج لا تص</w:t>
      </w:r>
      <w:r>
        <w:rPr>
          <w:rtl/>
        </w:rPr>
        <w:t>مد أمام الحقائق. فالاختلاف في الأسلوب واستخدام التعابير اليونانيّة ناشئ عن الاختلاف في طبيعة المشكلة التي يعالجها الرسول بولس في رسالة كولوسّي. كما أنّ لا شيء يدعو إلى الاعتقاد بأنّ نظرة بولس إلى المسيح لم تكن لتشمل حقيقة إبداعه للكون وضرورة اعتماد الكاتب على لاهوت إنجيل يوحنّا بالنسبة للمسيح (قارن مع في 5:2-11). هكذا نستخلص بأنّ أصالة الرسالة ثابتة وصحّة تأليف بولس لها تعتمد على أدلّة قويّة داخليّة كانت أم خارجيّة.</w:t>
      </w:r>
    </w:p>
    <w:p w:rsidR="00000000" w:rsidRDefault="00BC7D43">
      <w:pPr>
        <w:pStyle w:val="Heading3"/>
        <w:rPr>
          <w:rtl/>
        </w:rPr>
      </w:pPr>
      <w:r>
        <w:rPr>
          <w:rtl/>
        </w:rPr>
        <w:lastRenderedPageBreak/>
        <w:t>2- مدينة كولوسّي</w:t>
      </w:r>
    </w:p>
    <w:p w:rsidR="00000000" w:rsidRDefault="00BC7D43">
      <w:pPr>
        <w:pStyle w:val="1"/>
        <w:rPr>
          <w:rtl/>
        </w:rPr>
      </w:pPr>
      <w:r>
        <w:rPr>
          <w:rtl/>
        </w:rPr>
        <w:t>لم تكن لمدينة كولوسّي الواقعة مسافة 100 ميل شرقي أفسس أهميّة تُذكر إذا ما ق</w:t>
      </w:r>
      <w:r>
        <w:rPr>
          <w:rtl/>
        </w:rPr>
        <w:t>ارنّاها بسواها من مدن آسيا الصغرى المجاورة لها. فهي أقلّ شأنا من جميع المدن التي كتب إليها بولس رسائله في العهد الجديد. وكانت كولوسّي تقع في محيط الكنائس السبعة التي وجّه إليها يوحنّا رسائله في سفر الرؤيا (رؤ 2-3). أمّا مركزها الجغرافي فكان في سهل اللّيكوس الخصيب بجوار مدينتي لاودكيّة وهيرابوليس اللّتين كانتا تقعان مع كولوسّي على ضفاف نهر الليكوس. وقد ساهم ازدهار مدينتي لاودكيّة وهيرابوليس في أفول مجد مدينة كولوسّي التي اشتهرت بتجارة الصّوف الأسود إلى حين. على أنّ الوجود اليهودي في المنطقة كان ملحوظاً ويُست</w:t>
      </w:r>
      <w:r>
        <w:rPr>
          <w:rtl/>
        </w:rPr>
        <w:t>نتج ذلك من قيمة ضريبة الهيكل التي استولى عليها حاكم لاودكيّة أثناء إرسالها إلى أورشليم. فمن  خلال عمليّة حسابيّة بسيطة قُدِّر عدد السكاّن اليهود في المقاطعة التي كانت لاودكيّة مركزاً لها بحوالي 50 ألفاً.</w:t>
      </w:r>
      <w:r>
        <w:rPr>
          <w:rStyle w:val="FootnoteReference"/>
          <w:rtl/>
        </w:rPr>
        <w:footnoteReference w:id="2"/>
      </w:r>
    </w:p>
    <w:p w:rsidR="00000000" w:rsidRDefault="00BC7D43">
      <w:pPr>
        <w:pStyle w:val="1"/>
        <w:rPr>
          <w:rtl/>
        </w:rPr>
      </w:pPr>
      <w:r>
        <w:rPr>
          <w:rtl/>
        </w:rPr>
        <w:t>أمّا الكنيسة التي في كولوسّي فلم تؤسّس على الأرجح بواسطة خدمة بولس المباشرة. فهو يشير في معرض حديثه إلى أنّه  سمع بإيمانهم بالمسيح (4:1، 9)، كما أنّه لم يرَ وجوههم من قبل (1:2). لكن عندما نعلم بأنّ بولس خدم في أفسس مدّة ثلاث سنين خلال رحلته التبشيريّة الثالثة، حتّى سمع البشارة جميع الذين هم من آسيا (أع 19:</w:t>
      </w:r>
      <w:r>
        <w:rPr>
          <w:rtl/>
        </w:rPr>
        <w:t>10؛ 31:20) يمكننا الاستنتاج بأنّ أبفراس هو على الأرجح من أسّس الخدمة في كولوسّي بعدما آمن عن يد بولس في أفسس (راجع كو 7:1؛ 12:4-13).</w:t>
      </w:r>
    </w:p>
    <w:p w:rsidR="00000000" w:rsidRDefault="00BC7D43">
      <w:pPr>
        <w:pStyle w:val="Heading3"/>
        <w:rPr>
          <w:rtl/>
        </w:rPr>
      </w:pPr>
      <w:r>
        <w:rPr>
          <w:rtl/>
        </w:rPr>
        <w:t>3- تأريخ الرسالة وظروف الكتابة</w:t>
      </w:r>
    </w:p>
    <w:p w:rsidR="00000000" w:rsidRDefault="00BC7D43">
      <w:pPr>
        <w:pStyle w:val="1"/>
        <w:rPr>
          <w:rtl/>
        </w:rPr>
      </w:pPr>
      <w:r>
        <w:rPr>
          <w:rtl/>
        </w:rPr>
        <w:t>كُتبت رسالة كولوسّي على الأرجح من مدينة روما خلال فترة سجن بولس الأوّل هناك (60-62 م.). وتؤيّد هذا الاعتقاد حقائق عدّة أهمّها ما يلي: 1- يذكر الرسول في 18:4 أنّه كان سجيناً أثناء كتابة هذه الرسالة. 2- نظراً إلى أنّ رسالتي كولوسّي وفيلمون قد حُملتا معاً من أونسيمس وتيخيكس إلى كولوسّي التي كانت على الأرجح مقرّ فيلمون، فالأرجح أن يكون يكون مصدر الكت</w:t>
      </w:r>
      <w:r>
        <w:rPr>
          <w:rtl/>
        </w:rPr>
        <w:t>ابة مدينة روما لا قيصريّة حيث كان بولس يقيم في بيت استأجره لنفسه، وكان يستقبل زائرين وخدّاماً باستمرار (راجع مقدّمة رسالة فيلمون للمزيد من المعلومات حول ظروف هرب أونسيمس إلى روما). 3- لا تتّفق كتابة هذه الرسالة مع أي سَجن آخر لبولس وارد في أعمال الرسل (راجع سجنه في فيلبي أعمال 23:16-40؛ وفي قيصريّة أعمال 27:24). 4- شكّلت سهولة المواصلات وسرعة الاتّصالات بين روما وآسيا الصغرى ظرفاً جيّداً لإرسال رسائل السجن من هناك إلى الشرق. هكذا يُرجّح أن تكون هذه الرسالة إلى الكولوسّيّين كُتبت من روما حوالي سنة 61 م. خلال</w:t>
      </w:r>
      <w:r>
        <w:rPr>
          <w:rtl/>
        </w:rPr>
        <w:t xml:space="preserve"> فترة سجن بولس الأوّل هناك.</w:t>
      </w:r>
    </w:p>
    <w:p w:rsidR="00000000" w:rsidRDefault="00BC7D43">
      <w:pPr>
        <w:pStyle w:val="1"/>
        <w:rPr>
          <w:rtl/>
        </w:rPr>
      </w:pPr>
      <w:r>
        <w:rPr>
          <w:rtl/>
        </w:rPr>
        <w:t xml:space="preserve">أمّا بالنسبة لظروف الكتابة فلا شكّ أنّ أبفراس نقل إلى بولس الموجود في السجن أخباراً عن الأخطار التعليميّة التي تهدّد الكنيسة في كولوسّي فانبرى الرسول يكتب لمواجهة تلك التعاليم المضلّة (راجع 8:1؛ 12:4-13). ولا بدّ من الإشارة هنا إلى طبيعة الهرطقة التعليميّة في كولوسّي. فالكنيسة هناك التي كانت في غالبيّتها من الأمم (راجع 21:1، 27؛ 13:2) واجهت بعض التعاليم المضلّة التي نستطيع استنتاج طبيعتها من خلال ردّ بولس عليها. ومع العلم بأنّ النظريّات المختلفة تعدّدت بالنسبة لطبيعة هذه الهرطقة </w:t>
      </w:r>
      <w:r>
        <w:rPr>
          <w:rtl/>
        </w:rPr>
        <w:t>إلاّ أنّه من الواضح أنّها كانت تنطوي على مزيج من الناموسيّة اليهوديّة (11:2-17) والفلسفة اليونانيّة المتأثّرة بالعبادات الوثنيّة (4:2، 8-10، 18-23).</w:t>
      </w:r>
    </w:p>
    <w:p w:rsidR="00000000" w:rsidRDefault="00BC7D43">
      <w:pPr>
        <w:pStyle w:val="Heading3"/>
        <w:rPr>
          <w:rtl/>
        </w:rPr>
      </w:pPr>
      <w:r>
        <w:rPr>
          <w:rtl/>
        </w:rPr>
        <w:lastRenderedPageBreak/>
        <w:t>4- خصائص الرسالة وأهدافها</w:t>
      </w:r>
    </w:p>
    <w:p w:rsidR="00000000" w:rsidRDefault="00BC7D43">
      <w:pPr>
        <w:pStyle w:val="1"/>
        <w:rPr>
          <w:rtl/>
        </w:rPr>
      </w:pPr>
      <w:r>
        <w:rPr>
          <w:rtl/>
        </w:rPr>
        <w:t>لرسالة كولوسّي أهداف عدّة نذكر أهمّها: 1- التصدّي للهرطقة التعليميّة التي نشأت في مدينة كولوسّي وكانت تتهدّد الكنائس المنتشرة في وادي الليكوس. 2- توجيه نظر الكولوسّيّين إلى سموّ المسيح في الكنيسة والخليقة لمواجهة التعاليم المضلّة في هذا الشأن. ففيه "يحلّ كلّ ملء اللاّهوت جسديّاً" (9:2)، كما أنّ فيه "مذّخر جميع كنوز الحكمة والعلم" (3:2)</w:t>
      </w:r>
      <w:r>
        <w:rPr>
          <w:rtl/>
        </w:rPr>
        <w:t>. 3- تشجيع القرّاء على العيش كما يحقّ لسموّ المسيح في حياتهم الشخصيّة والكنسيّة والعائليّة والاجتماعيّة. 4- تشجيع الكولوسّيّين على الثبات في الإيمان وعدم الانتقال عن رجاء الإنجيل (23:1).</w:t>
      </w:r>
    </w:p>
    <w:p w:rsidR="00000000" w:rsidRDefault="00BC7D43">
      <w:pPr>
        <w:pStyle w:val="1"/>
        <w:rPr>
          <w:rtl/>
        </w:rPr>
      </w:pPr>
      <w:r>
        <w:rPr>
          <w:rtl/>
        </w:rPr>
        <w:t>هذا وتجدر المقارنة بين رسالتي كولوسّي وأفسس المتشابهتين واللّتين كُتبتا من ذات المكان في فترة زمنيّة متقاربة، ويمكن اختصار هذه المقارنة بالجدول التالي:</w:t>
      </w:r>
      <w:r>
        <w:rPr>
          <w:rStyle w:val="FootnoteReference"/>
          <w:rtl/>
        </w:rPr>
        <w:footnoteReference w:id="3"/>
      </w:r>
    </w:p>
    <w:p w:rsidR="00000000" w:rsidRDefault="00BC7D43">
      <w:pPr>
        <w:pStyle w:val="Heading2"/>
        <w:rPr>
          <w:rtl/>
        </w:rPr>
      </w:pPr>
    </w:p>
    <w:tbl>
      <w:tblPr>
        <w:bidiVisual/>
        <w:tblW w:w="0" w:type="auto"/>
        <w:tblLayout w:type="fixed"/>
        <w:tblLook w:val="00B7"/>
      </w:tblPr>
      <w:tblGrid>
        <w:gridCol w:w="4811"/>
        <w:gridCol w:w="4811"/>
      </w:tblGrid>
      <w:tr w:rsidR="00000000">
        <w:tblPrEx>
          <w:tblCellMar>
            <w:top w:w="0" w:type="dxa"/>
            <w:bottom w:w="0" w:type="dxa"/>
          </w:tblCellMar>
        </w:tblPrEx>
        <w:tc>
          <w:tcPr>
            <w:tcW w:w="4811" w:type="dxa"/>
            <w:tcBorders>
              <w:top w:val="single" w:sz="12" w:space="0" w:color="808080"/>
              <w:left w:val="single" w:sz="12" w:space="0" w:color="808080"/>
            </w:tcBorders>
            <w:shd w:val="solid" w:color="000000" w:fill="FFFFFF"/>
          </w:tcPr>
          <w:p w:rsidR="00000000" w:rsidRDefault="00BC7D43">
            <w:pPr>
              <w:pStyle w:val="1"/>
              <w:pBdr>
                <w:right w:val="none" w:sz="0" w:space="0" w:color="auto"/>
              </w:pBdr>
              <w:ind w:firstLine="0"/>
              <w:jc w:val="center"/>
              <w:rPr>
                <w:b/>
                <w:bCs/>
                <w:color w:val="FFFFFF"/>
                <w:rtl/>
              </w:rPr>
            </w:pPr>
            <w:r>
              <w:rPr>
                <w:b/>
                <w:bCs/>
                <w:color w:val="FFFFFF"/>
                <w:rtl/>
              </w:rPr>
              <w:t>رسالة أفسس</w:t>
            </w:r>
          </w:p>
        </w:tc>
        <w:tc>
          <w:tcPr>
            <w:tcW w:w="4811" w:type="dxa"/>
            <w:tcBorders>
              <w:top w:val="single" w:sz="12" w:space="0" w:color="808080"/>
              <w:right w:val="single" w:sz="12" w:space="0" w:color="808080"/>
            </w:tcBorders>
            <w:shd w:val="solid" w:color="000000" w:fill="FFFFFF"/>
          </w:tcPr>
          <w:p w:rsidR="00000000" w:rsidRDefault="00BC7D43">
            <w:pPr>
              <w:pStyle w:val="1"/>
              <w:pBdr>
                <w:right w:val="none" w:sz="0" w:space="0" w:color="auto"/>
              </w:pBdr>
              <w:ind w:firstLine="0"/>
              <w:jc w:val="center"/>
              <w:rPr>
                <w:b/>
                <w:bCs/>
                <w:color w:val="FFFFFF"/>
                <w:rtl/>
              </w:rPr>
            </w:pPr>
            <w:r>
              <w:rPr>
                <w:b/>
                <w:bCs/>
                <w:color w:val="FFFFFF"/>
                <w:rtl/>
              </w:rPr>
              <w:t>رسالة كولوسّي</w:t>
            </w:r>
          </w:p>
        </w:tc>
      </w:tr>
      <w:tr w:rsidR="00000000">
        <w:tblPrEx>
          <w:tblCellMar>
            <w:top w:w="0" w:type="dxa"/>
            <w:bottom w:w="0" w:type="dxa"/>
          </w:tblCellMar>
        </w:tblPrEx>
        <w:tc>
          <w:tcPr>
            <w:tcW w:w="4811" w:type="dxa"/>
            <w:tcBorders>
              <w:top w:val="single" w:sz="6" w:space="0" w:color="C0C0C0"/>
              <w:left w:val="single" w:sz="12" w:space="0" w:color="808080"/>
              <w:bottom w:val="single" w:sz="6" w:space="0" w:color="C0C0C0"/>
            </w:tcBorders>
            <w:shd w:val="pct20" w:color="000000" w:fill="FFFFFF"/>
          </w:tcPr>
          <w:p w:rsidR="00000000" w:rsidRDefault="00BC7D43">
            <w:pPr>
              <w:pStyle w:val="1"/>
              <w:pBdr>
                <w:right w:val="none" w:sz="0" w:space="0" w:color="auto"/>
              </w:pBdr>
              <w:ind w:firstLine="0"/>
              <w:jc w:val="center"/>
              <w:rPr>
                <w:color w:val="FFFFFF"/>
                <w:rtl/>
              </w:rPr>
            </w:pPr>
            <w:r>
              <w:rPr>
                <w:rtl/>
              </w:rPr>
              <w:t>كُتبت من السجن وحملها تيخيكس</w:t>
            </w:r>
          </w:p>
        </w:tc>
        <w:tc>
          <w:tcPr>
            <w:tcW w:w="4811" w:type="dxa"/>
            <w:tcBorders>
              <w:top w:val="single" w:sz="6" w:space="0" w:color="C0C0C0"/>
              <w:bottom w:val="single" w:sz="6" w:space="0" w:color="C0C0C0"/>
              <w:right w:val="single" w:sz="12" w:space="0" w:color="808080"/>
            </w:tcBorders>
            <w:shd w:val="pct20" w:color="000000" w:fill="FFFFFF"/>
          </w:tcPr>
          <w:p w:rsidR="00000000" w:rsidRDefault="00BC7D43">
            <w:pPr>
              <w:pStyle w:val="1"/>
              <w:pBdr>
                <w:right w:val="none" w:sz="0" w:space="0" w:color="auto"/>
              </w:pBdr>
              <w:ind w:firstLine="0"/>
              <w:jc w:val="center"/>
              <w:rPr>
                <w:color w:val="FFFFFF"/>
                <w:rtl/>
              </w:rPr>
            </w:pPr>
            <w:r>
              <w:rPr>
                <w:rtl/>
              </w:rPr>
              <w:t>كُتبت من السجن وحملها تيخيكس</w:t>
            </w:r>
          </w:p>
        </w:tc>
      </w:tr>
      <w:tr w:rsidR="00000000">
        <w:tblPrEx>
          <w:tblCellMar>
            <w:top w:w="0" w:type="dxa"/>
            <w:bottom w:w="0" w:type="dxa"/>
          </w:tblCellMar>
        </w:tblPrEx>
        <w:tc>
          <w:tcPr>
            <w:tcW w:w="4811" w:type="dxa"/>
            <w:tcBorders>
              <w:top w:val="single" w:sz="6" w:space="0" w:color="C0C0C0"/>
              <w:left w:val="single" w:sz="12" w:space="0" w:color="808080"/>
              <w:bottom w:val="single" w:sz="6" w:space="0" w:color="C0C0C0"/>
            </w:tcBorders>
            <w:shd w:val="pct20" w:color="000000" w:fill="FFFFFF"/>
          </w:tcPr>
          <w:p w:rsidR="00000000" w:rsidRDefault="00BC7D43">
            <w:pPr>
              <w:pStyle w:val="1"/>
              <w:pBdr>
                <w:right w:val="none" w:sz="0" w:space="0" w:color="auto"/>
              </w:pBdr>
              <w:ind w:firstLine="0"/>
              <w:jc w:val="center"/>
              <w:rPr>
                <w:rtl/>
              </w:rPr>
            </w:pPr>
            <w:r>
              <w:rPr>
                <w:rtl/>
              </w:rPr>
              <w:t>تشدّد على الحكمة والمعرفة والملء والسرّ</w:t>
            </w:r>
          </w:p>
        </w:tc>
        <w:tc>
          <w:tcPr>
            <w:tcW w:w="4811" w:type="dxa"/>
            <w:tcBorders>
              <w:top w:val="single" w:sz="6" w:space="0" w:color="C0C0C0"/>
              <w:bottom w:val="single" w:sz="6" w:space="0" w:color="C0C0C0"/>
              <w:right w:val="single" w:sz="12" w:space="0" w:color="808080"/>
            </w:tcBorders>
            <w:shd w:val="pct20" w:color="000000" w:fill="FFFFFF"/>
          </w:tcPr>
          <w:p w:rsidR="00000000" w:rsidRDefault="00BC7D43">
            <w:pPr>
              <w:pStyle w:val="1"/>
              <w:pBdr>
                <w:right w:val="none" w:sz="0" w:space="0" w:color="auto"/>
              </w:pBdr>
              <w:ind w:firstLine="0"/>
              <w:jc w:val="center"/>
              <w:rPr>
                <w:rtl/>
              </w:rPr>
            </w:pPr>
            <w:r>
              <w:rPr>
                <w:rtl/>
              </w:rPr>
              <w:t>تشدّد على الحكمة والمعرفة والملء والسرّ</w:t>
            </w:r>
          </w:p>
        </w:tc>
      </w:tr>
      <w:tr w:rsidR="00000000">
        <w:tblPrEx>
          <w:tblCellMar>
            <w:top w:w="0" w:type="dxa"/>
            <w:bottom w:w="0" w:type="dxa"/>
          </w:tblCellMar>
        </w:tblPrEx>
        <w:tc>
          <w:tcPr>
            <w:tcW w:w="4811" w:type="dxa"/>
            <w:tcBorders>
              <w:top w:val="single" w:sz="6" w:space="0" w:color="C0C0C0"/>
              <w:left w:val="single" w:sz="12" w:space="0" w:color="808080"/>
              <w:bottom w:val="single" w:sz="6" w:space="0" w:color="C0C0C0"/>
            </w:tcBorders>
            <w:shd w:val="pct20" w:color="000000" w:fill="FFFFFF"/>
          </w:tcPr>
          <w:p w:rsidR="00000000" w:rsidRDefault="00BC7D43">
            <w:pPr>
              <w:pStyle w:val="1"/>
              <w:pBdr>
                <w:right w:val="none" w:sz="0" w:space="0" w:color="auto"/>
              </w:pBdr>
              <w:ind w:firstLine="0"/>
              <w:jc w:val="center"/>
              <w:rPr>
                <w:rtl/>
              </w:rPr>
            </w:pPr>
            <w:r>
              <w:rPr>
                <w:rtl/>
              </w:rPr>
              <w:t>المقا</w:t>
            </w:r>
            <w:r>
              <w:rPr>
                <w:rtl/>
              </w:rPr>
              <w:t>طع المتشابهة: (1) 7:1؛ (2) 10:1؛ (3) 15:1-17؛ (4) 18:1؛ (5) 19:1-20؛ (6) 21:1-23</w:t>
            </w:r>
          </w:p>
        </w:tc>
        <w:tc>
          <w:tcPr>
            <w:tcW w:w="4811" w:type="dxa"/>
            <w:tcBorders>
              <w:top w:val="single" w:sz="6" w:space="0" w:color="C0C0C0"/>
              <w:bottom w:val="single" w:sz="6" w:space="0" w:color="C0C0C0"/>
              <w:right w:val="single" w:sz="12" w:space="0" w:color="808080"/>
            </w:tcBorders>
            <w:shd w:val="pct20" w:color="000000" w:fill="FFFFFF"/>
          </w:tcPr>
          <w:p w:rsidR="00000000" w:rsidRDefault="00BC7D43">
            <w:pPr>
              <w:pStyle w:val="1"/>
              <w:pBdr>
                <w:right w:val="none" w:sz="0" w:space="0" w:color="auto"/>
              </w:pBdr>
              <w:ind w:firstLine="0"/>
              <w:jc w:val="center"/>
              <w:rPr>
                <w:rtl/>
              </w:rPr>
            </w:pPr>
            <w:r>
              <w:rPr>
                <w:rtl/>
              </w:rPr>
              <w:t>المقاطع المتشابهة: (1) 4:1؛ (2) 20:1؛ (3) 3:1-4؛ (4) 27:1؛ (5) 12:2؛ (6) 16:1-19</w:t>
            </w:r>
          </w:p>
        </w:tc>
      </w:tr>
      <w:tr w:rsidR="00000000">
        <w:tblPrEx>
          <w:tblCellMar>
            <w:top w:w="0" w:type="dxa"/>
            <w:bottom w:w="0" w:type="dxa"/>
          </w:tblCellMar>
        </w:tblPrEx>
        <w:tc>
          <w:tcPr>
            <w:tcW w:w="4811" w:type="dxa"/>
            <w:tcBorders>
              <w:top w:val="single" w:sz="6" w:space="0" w:color="C0C0C0"/>
              <w:left w:val="single" w:sz="12" w:space="0" w:color="808080"/>
              <w:bottom w:val="single" w:sz="6" w:space="0" w:color="C0C0C0"/>
            </w:tcBorders>
            <w:shd w:val="pct20" w:color="000000" w:fill="FFFFFF"/>
          </w:tcPr>
          <w:p w:rsidR="00000000" w:rsidRDefault="00BC7D43">
            <w:pPr>
              <w:pStyle w:val="1"/>
              <w:pBdr>
                <w:right w:val="none" w:sz="0" w:space="0" w:color="auto"/>
              </w:pBdr>
              <w:ind w:firstLine="0"/>
              <w:jc w:val="center"/>
              <w:rPr>
                <w:rtl/>
              </w:rPr>
            </w:pPr>
            <w:r>
              <w:rPr>
                <w:rtl/>
              </w:rPr>
              <w:t>تشدّد على الكنيسة جسد المسيح</w:t>
            </w:r>
          </w:p>
        </w:tc>
        <w:tc>
          <w:tcPr>
            <w:tcW w:w="4811" w:type="dxa"/>
            <w:tcBorders>
              <w:top w:val="single" w:sz="6" w:space="0" w:color="C0C0C0"/>
              <w:bottom w:val="single" w:sz="6" w:space="0" w:color="C0C0C0"/>
              <w:right w:val="single" w:sz="12" w:space="0" w:color="808080"/>
            </w:tcBorders>
            <w:shd w:val="pct20" w:color="000000" w:fill="FFFFFF"/>
          </w:tcPr>
          <w:p w:rsidR="00000000" w:rsidRDefault="00BC7D43">
            <w:pPr>
              <w:pStyle w:val="1"/>
              <w:pBdr>
                <w:right w:val="none" w:sz="0" w:space="0" w:color="auto"/>
              </w:pBdr>
              <w:ind w:firstLine="0"/>
              <w:jc w:val="center"/>
              <w:rPr>
                <w:rtl/>
              </w:rPr>
            </w:pPr>
            <w:r>
              <w:rPr>
                <w:rtl/>
              </w:rPr>
              <w:t>تشدّد على المسيح رأس الجسد</w:t>
            </w:r>
          </w:p>
        </w:tc>
      </w:tr>
      <w:tr w:rsidR="00000000">
        <w:tblPrEx>
          <w:tblCellMar>
            <w:top w:w="0" w:type="dxa"/>
            <w:bottom w:w="0" w:type="dxa"/>
          </w:tblCellMar>
        </w:tblPrEx>
        <w:tc>
          <w:tcPr>
            <w:tcW w:w="4811" w:type="dxa"/>
            <w:tcBorders>
              <w:top w:val="single" w:sz="6" w:space="0" w:color="C0C0C0"/>
              <w:left w:val="single" w:sz="12" w:space="0" w:color="808080"/>
              <w:bottom w:val="single" w:sz="6" w:space="0" w:color="C0C0C0"/>
            </w:tcBorders>
            <w:shd w:val="pct20" w:color="000000" w:fill="FFFFFF"/>
          </w:tcPr>
          <w:p w:rsidR="00000000" w:rsidRDefault="00BC7D43">
            <w:pPr>
              <w:pStyle w:val="1"/>
              <w:pBdr>
                <w:right w:val="none" w:sz="0" w:space="0" w:color="auto"/>
              </w:pBdr>
              <w:ind w:firstLine="0"/>
              <w:jc w:val="center"/>
              <w:rPr>
                <w:rtl/>
              </w:rPr>
            </w:pPr>
            <w:r>
              <w:rPr>
                <w:rtl/>
              </w:rPr>
              <w:t>عامّة وعالميّة في وجهتها</w:t>
            </w:r>
          </w:p>
        </w:tc>
        <w:tc>
          <w:tcPr>
            <w:tcW w:w="4811" w:type="dxa"/>
            <w:tcBorders>
              <w:top w:val="single" w:sz="6" w:space="0" w:color="C0C0C0"/>
              <w:bottom w:val="single" w:sz="6" w:space="0" w:color="C0C0C0"/>
              <w:right w:val="single" w:sz="12" w:space="0" w:color="808080"/>
            </w:tcBorders>
            <w:shd w:val="pct20" w:color="000000" w:fill="FFFFFF"/>
          </w:tcPr>
          <w:p w:rsidR="00000000" w:rsidRDefault="00BC7D43">
            <w:pPr>
              <w:pStyle w:val="1"/>
              <w:pBdr>
                <w:right w:val="none" w:sz="0" w:space="0" w:color="auto"/>
              </w:pBdr>
              <w:ind w:firstLine="0"/>
              <w:jc w:val="center"/>
              <w:rPr>
                <w:rtl/>
              </w:rPr>
            </w:pPr>
            <w:r>
              <w:rPr>
                <w:rtl/>
              </w:rPr>
              <w:t>خاصّة ومحليّة في وجهتها</w:t>
            </w:r>
          </w:p>
        </w:tc>
      </w:tr>
      <w:tr w:rsidR="00000000">
        <w:tblPrEx>
          <w:tblCellMar>
            <w:top w:w="0" w:type="dxa"/>
            <w:bottom w:w="0" w:type="dxa"/>
          </w:tblCellMar>
        </w:tblPrEx>
        <w:tc>
          <w:tcPr>
            <w:tcW w:w="4811" w:type="dxa"/>
            <w:tcBorders>
              <w:top w:val="single" w:sz="6" w:space="0" w:color="C0C0C0"/>
              <w:left w:val="single" w:sz="12" w:space="0" w:color="808080"/>
              <w:bottom w:val="single" w:sz="6" w:space="0" w:color="C0C0C0"/>
            </w:tcBorders>
            <w:shd w:val="pct20" w:color="000000" w:fill="FFFFFF"/>
          </w:tcPr>
          <w:p w:rsidR="00000000" w:rsidRDefault="00BC7D43">
            <w:pPr>
              <w:pStyle w:val="1"/>
              <w:pBdr>
                <w:right w:val="none" w:sz="0" w:space="0" w:color="auto"/>
              </w:pBdr>
              <w:ind w:firstLine="0"/>
              <w:jc w:val="center"/>
              <w:rPr>
                <w:rtl/>
              </w:rPr>
            </w:pPr>
            <w:r>
              <w:rPr>
                <w:rtl/>
              </w:rPr>
              <w:t>رعويّة في نفحتها</w:t>
            </w:r>
          </w:p>
        </w:tc>
        <w:tc>
          <w:tcPr>
            <w:tcW w:w="4811" w:type="dxa"/>
            <w:tcBorders>
              <w:top w:val="single" w:sz="6" w:space="0" w:color="C0C0C0"/>
              <w:bottom w:val="single" w:sz="6" w:space="0" w:color="C0C0C0"/>
              <w:right w:val="single" w:sz="12" w:space="0" w:color="808080"/>
            </w:tcBorders>
            <w:shd w:val="pct20" w:color="000000" w:fill="FFFFFF"/>
          </w:tcPr>
          <w:p w:rsidR="00000000" w:rsidRDefault="00BC7D43">
            <w:pPr>
              <w:pStyle w:val="1"/>
              <w:pBdr>
                <w:right w:val="none" w:sz="0" w:space="0" w:color="auto"/>
              </w:pBdr>
              <w:ind w:firstLine="0"/>
              <w:jc w:val="center"/>
              <w:rPr>
                <w:rtl/>
              </w:rPr>
            </w:pPr>
            <w:r>
              <w:rPr>
                <w:rtl/>
              </w:rPr>
              <w:t>جدليّة في نفحتها</w:t>
            </w:r>
          </w:p>
        </w:tc>
      </w:tr>
      <w:tr w:rsidR="00000000">
        <w:tblPrEx>
          <w:tblCellMar>
            <w:top w:w="0" w:type="dxa"/>
            <w:bottom w:w="0" w:type="dxa"/>
          </w:tblCellMar>
        </w:tblPrEx>
        <w:tc>
          <w:tcPr>
            <w:tcW w:w="4811" w:type="dxa"/>
            <w:tcBorders>
              <w:top w:val="single" w:sz="6" w:space="0" w:color="C0C0C0"/>
              <w:left w:val="single" w:sz="12" w:space="0" w:color="808080"/>
              <w:bottom w:val="single" w:sz="12" w:space="0" w:color="808080"/>
            </w:tcBorders>
            <w:shd w:val="pct20" w:color="000000" w:fill="FFFFFF"/>
          </w:tcPr>
          <w:p w:rsidR="00000000" w:rsidRDefault="00BC7D43">
            <w:pPr>
              <w:pStyle w:val="1"/>
              <w:pBdr>
                <w:right w:val="none" w:sz="0" w:space="0" w:color="auto"/>
              </w:pBdr>
              <w:ind w:firstLine="0"/>
              <w:jc w:val="center"/>
              <w:rPr>
                <w:rtl/>
              </w:rPr>
            </w:pPr>
            <w:r>
              <w:rPr>
                <w:rtl/>
              </w:rPr>
              <w:t>تشدّد على وحدة المؤمن مع المسيح</w:t>
            </w:r>
          </w:p>
        </w:tc>
        <w:tc>
          <w:tcPr>
            <w:tcW w:w="4811" w:type="dxa"/>
            <w:tcBorders>
              <w:top w:val="single" w:sz="6" w:space="0" w:color="C0C0C0"/>
              <w:bottom w:val="single" w:sz="12" w:space="0" w:color="808080"/>
              <w:right w:val="single" w:sz="12" w:space="0" w:color="808080"/>
            </w:tcBorders>
            <w:shd w:val="pct20" w:color="000000" w:fill="FFFFFF"/>
          </w:tcPr>
          <w:p w:rsidR="00000000" w:rsidRDefault="00BC7D43">
            <w:pPr>
              <w:pStyle w:val="1"/>
              <w:pBdr>
                <w:right w:val="none" w:sz="0" w:space="0" w:color="auto"/>
              </w:pBdr>
              <w:ind w:firstLine="0"/>
              <w:jc w:val="center"/>
              <w:rPr>
                <w:rtl/>
              </w:rPr>
            </w:pPr>
            <w:r>
              <w:rPr>
                <w:rtl/>
              </w:rPr>
              <w:t>تشدّد على كمال المؤمن في المسيح</w:t>
            </w:r>
          </w:p>
        </w:tc>
      </w:tr>
    </w:tbl>
    <w:p w:rsidR="00000000" w:rsidRDefault="00BC7D43">
      <w:pPr>
        <w:pStyle w:val="Heading2"/>
        <w:rPr>
          <w:rtl/>
        </w:rPr>
      </w:pPr>
    </w:p>
    <w:p w:rsidR="00000000" w:rsidRDefault="00BC7D43">
      <w:pPr>
        <w:pStyle w:val="Heading3"/>
        <w:rPr>
          <w:rtl/>
        </w:rPr>
      </w:pPr>
    </w:p>
    <w:p w:rsidR="00000000" w:rsidRDefault="00BC7D43">
      <w:pPr>
        <w:pStyle w:val="Heading2"/>
        <w:rPr>
          <w:rtl/>
        </w:rPr>
      </w:pPr>
      <w:r>
        <w:rPr>
          <w:rtl/>
        </w:rPr>
        <w:br w:type="page"/>
      </w:r>
      <w:r>
        <w:rPr>
          <w:rtl/>
        </w:rPr>
        <w:lastRenderedPageBreak/>
        <w:t>مخطّط تمهيدي موجز</w:t>
      </w:r>
    </w:p>
    <w:p w:rsidR="00000000" w:rsidRDefault="00BC7D43">
      <w:pPr>
        <w:pStyle w:val="OUT1"/>
        <w:rPr>
          <w:rtl/>
        </w:rPr>
      </w:pPr>
      <w:r>
        <w:rPr>
          <w:rtl/>
        </w:rPr>
        <w:t>1-</w:t>
      </w:r>
      <w:r>
        <w:rPr>
          <w:rtl/>
        </w:rPr>
        <w:tab/>
        <w:t>سموّ المسيح معلن في عمله الفدائي كابن اللّه الأزلي (1:1-23:2)</w:t>
      </w:r>
    </w:p>
    <w:p w:rsidR="00000000" w:rsidRDefault="00BC7D43">
      <w:pPr>
        <w:pStyle w:val="OUT2"/>
        <w:rPr>
          <w:rtl/>
        </w:rPr>
      </w:pPr>
      <w:r>
        <w:rPr>
          <w:rtl/>
        </w:rPr>
        <w:t>أ-</w:t>
      </w:r>
      <w:r>
        <w:rPr>
          <w:rtl/>
        </w:rPr>
        <w:tab/>
        <w:t>افتتاحيّة الرسول تعكس صلاة بولس الشاكرة لأجل الكولوسّ</w:t>
      </w:r>
      <w:r>
        <w:rPr>
          <w:rtl/>
        </w:rPr>
        <w:t>يّين (1:1-14)</w:t>
      </w:r>
    </w:p>
    <w:p w:rsidR="00000000" w:rsidRDefault="00BC7D43">
      <w:pPr>
        <w:pStyle w:val="OUT2"/>
        <w:rPr>
          <w:rtl/>
        </w:rPr>
      </w:pPr>
      <w:r>
        <w:rPr>
          <w:rtl/>
        </w:rPr>
        <w:t>ب-</w:t>
      </w:r>
      <w:r>
        <w:rPr>
          <w:rtl/>
        </w:rPr>
        <w:tab/>
        <w:t>سموّ المسيح ظاهر في عمله الفدائي كابن اللّه الأزلي (15:1-29)</w:t>
      </w:r>
    </w:p>
    <w:p w:rsidR="00000000" w:rsidRDefault="00BC7D43">
      <w:pPr>
        <w:pStyle w:val="OUT2"/>
        <w:rPr>
          <w:rtl/>
        </w:rPr>
      </w:pPr>
      <w:r>
        <w:rPr>
          <w:rtl/>
        </w:rPr>
        <w:t>ج-</w:t>
      </w:r>
      <w:r>
        <w:rPr>
          <w:rtl/>
        </w:rPr>
        <w:tab/>
        <w:t>فداء المسيح كما يجب أن يظهر في تصرّف الكنيسة التعليمي (1:2-23)</w:t>
      </w:r>
    </w:p>
    <w:p w:rsidR="00000000" w:rsidRDefault="00BC7D43">
      <w:pPr>
        <w:pStyle w:val="OUT1"/>
        <w:rPr>
          <w:rtl/>
        </w:rPr>
      </w:pPr>
      <w:r>
        <w:rPr>
          <w:rtl/>
        </w:rPr>
        <w:t>2- سموّ المسيح معلن في سلوك الكنيسة بحسب حقيقة الفداء (1:3-18:4)</w:t>
      </w:r>
    </w:p>
    <w:p w:rsidR="00000000" w:rsidRDefault="00BC7D43">
      <w:pPr>
        <w:pStyle w:val="OUT2"/>
        <w:rPr>
          <w:rtl/>
        </w:rPr>
      </w:pPr>
      <w:r>
        <w:rPr>
          <w:rtl/>
        </w:rPr>
        <w:t>أ-</w:t>
      </w:r>
      <w:r>
        <w:rPr>
          <w:rtl/>
        </w:rPr>
        <w:tab/>
        <w:t>حقيقة الفداء تؤمّن مركزاً مجيداً للمؤمن في المسيح (1:3-4)</w:t>
      </w:r>
    </w:p>
    <w:p w:rsidR="00000000" w:rsidRDefault="00BC7D43">
      <w:pPr>
        <w:pStyle w:val="OUT2"/>
        <w:rPr>
          <w:rtl/>
        </w:rPr>
      </w:pPr>
      <w:r>
        <w:rPr>
          <w:rtl/>
        </w:rPr>
        <w:t>ب-</w:t>
      </w:r>
      <w:r>
        <w:rPr>
          <w:rtl/>
        </w:rPr>
        <w:tab/>
        <w:t>حقيقة الفداء كما يجب أن تنعكس في سلوك المؤمن الشخصي (5:3-17)</w:t>
      </w:r>
    </w:p>
    <w:p w:rsidR="00000000" w:rsidRDefault="00BC7D43">
      <w:pPr>
        <w:pStyle w:val="OUT2"/>
        <w:rPr>
          <w:rtl/>
        </w:rPr>
      </w:pPr>
      <w:r>
        <w:rPr>
          <w:rtl/>
        </w:rPr>
        <w:t>ج-</w:t>
      </w:r>
      <w:r>
        <w:rPr>
          <w:rtl/>
        </w:rPr>
        <w:tab/>
        <w:t>حقيقة الفداء كما يجب أن تنعكس في سلوك المؤمن الاجتماعي (18:3-1:4)</w:t>
      </w:r>
    </w:p>
    <w:p w:rsidR="00000000" w:rsidRDefault="00BC7D43">
      <w:pPr>
        <w:pStyle w:val="OUT2"/>
        <w:rPr>
          <w:rtl/>
        </w:rPr>
      </w:pPr>
      <w:r>
        <w:rPr>
          <w:rtl/>
        </w:rPr>
        <w:t>د-</w:t>
      </w:r>
      <w:r>
        <w:rPr>
          <w:rtl/>
        </w:rPr>
        <w:tab/>
        <w:t>حقيقة الفداء كما يجب أن تنعكس في شهادة المؤمن في العالم (2:4-6)</w:t>
      </w:r>
    </w:p>
    <w:p w:rsidR="00000000" w:rsidRDefault="00BC7D43">
      <w:pPr>
        <w:pStyle w:val="OUT2"/>
        <w:rPr>
          <w:rtl/>
        </w:rPr>
      </w:pPr>
      <w:r>
        <w:rPr>
          <w:rtl/>
        </w:rPr>
        <w:t>ه-</w:t>
      </w:r>
      <w:r>
        <w:rPr>
          <w:rtl/>
        </w:rPr>
        <w:tab/>
        <w:t>حقيقة الفداء كما تعكسها كلمات الرسول ال</w:t>
      </w:r>
      <w:r>
        <w:rPr>
          <w:rtl/>
        </w:rPr>
        <w:t>ختاميّة (7:4-18)</w:t>
      </w:r>
    </w:p>
    <w:p w:rsidR="00000000" w:rsidRDefault="00BC7D43">
      <w:pPr>
        <w:pStyle w:val="OUT2"/>
        <w:rPr>
          <w:rtl/>
        </w:rPr>
      </w:pPr>
    </w:p>
    <w:p w:rsidR="00000000" w:rsidRDefault="00BC7D43">
      <w:pPr>
        <w:pStyle w:val="Heading2"/>
        <w:rPr>
          <w:rtl/>
        </w:rPr>
      </w:pPr>
      <w:r>
        <w:rPr>
          <w:rtl/>
        </w:rPr>
        <w:t>مخطّط تمهيدي مفصّل</w:t>
      </w:r>
    </w:p>
    <w:p w:rsidR="00000000" w:rsidRDefault="00BC7D43">
      <w:pPr>
        <w:pStyle w:val="OUT1"/>
        <w:rPr>
          <w:rtl/>
        </w:rPr>
      </w:pPr>
      <w:r>
        <w:rPr>
          <w:rtl/>
        </w:rPr>
        <w:t>1-</w:t>
      </w:r>
      <w:r>
        <w:rPr>
          <w:rtl/>
        </w:rPr>
        <w:tab/>
        <w:t>سموّ المسيح معلن في عمله الفدائي كابن اللّه الأزلي (1:1-23:2)</w:t>
      </w:r>
    </w:p>
    <w:p w:rsidR="00000000" w:rsidRDefault="00BC7D43">
      <w:pPr>
        <w:pStyle w:val="OUT2"/>
        <w:rPr>
          <w:rtl/>
        </w:rPr>
      </w:pPr>
      <w:r>
        <w:rPr>
          <w:rtl/>
        </w:rPr>
        <w:t>أ-</w:t>
      </w:r>
      <w:r>
        <w:rPr>
          <w:rtl/>
        </w:rPr>
        <w:tab/>
        <w:t>افتتاحيّة الرسول تعكس صلاة بولس الشاكرة لأجل الكولوسّيّين (1:1-14)</w:t>
      </w:r>
      <w:r>
        <w:rPr>
          <w:rStyle w:val="FootnoteReference"/>
          <w:rtl/>
        </w:rPr>
        <w:t xml:space="preserve"> </w:t>
      </w:r>
      <w:r>
        <w:rPr>
          <w:rStyle w:val="FootnoteReference"/>
          <w:rtl/>
        </w:rPr>
        <w:footnoteReference w:id="4"/>
      </w:r>
    </w:p>
    <w:p w:rsidR="00000000" w:rsidRDefault="00BC7D43">
      <w:pPr>
        <w:pStyle w:val="OUT3"/>
        <w:rPr>
          <w:rtl/>
        </w:rPr>
      </w:pPr>
      <w:r>
        <w:rPr>
          <w:rtl/>
        </w:rPr>
        <w:t>1.</w:t>
      </w:r>
      <w:r>
        <w:rPr>
          <w:rtl/>
        </w:rPr>
        <w:tab/>
        <w:t>تحيّة الرسول الإفتتاحيّة إلى الكولوسّيّين (1:1-2)</w:t>
      </w:r>
    </w:p>
    <w:p w:rsidR="00000000" w:rsidRDefault="00BC7D43">
      <w:pPr>
        <w:pStyle w:val="OUT3"/>
        <w:rPr>
          <w:rtl/>
        </w:rPr>
      </w:pPr>
      <w:r>
        <w:rPr>
          <w:rtl/>
        </w:rPr>
        <w:t>2.</w:t>
      </w:r>
      <w:r>
        <w:rPr>
          <w:rtl/>
        </w:rPr>
        <w:tab/>
        <w:t>شكر بولس من أجل الكولوسّيّين يُبيّن تكريسهم القلبي لكلمة الإنجيل الخلاصيّة (3:1-8)</w:t>
      </w:r>
    </w:p>
    <w:p w:rsidR="00000000" w:rsidRDefault="00BC7D43">
      <w:pPr>
        <w:pStyle w:val="OUT4"/>
        <w:rPr>
          <w:rtl/>
        </w:rPr>
      </w:pPr>
      <w:r>
        <w:rPr>
          <w:rtl/>
        </w:rPr>
        <w:t>أ.</w:t>
      </w:r>
      <w:r>
        <w:rPr>
          <w:rtl/>
        </w:rPr>
        <w:tab/>
        <w:t>شكر الرسول من أجل الرجاء الموضوع للكولوسّيّين في السموات (3:1-5)</w:t>
      </w:r>
    </w:p>
    <w:p w:rsidR="00000000" w:rsidRDefault="00BC7D43">
      <w:pPr>
        <w:pStyle w:val="OUT4"/>
        <w:rPr>
          <w:rtl/>
        </w:rPr>
      </w:pPr>
      <w:r>
        <w:rPr>
          <w:rtl/>
        </w:rPr>
        <w:t>ب.</w:t>
      </w:r>
      <w:r>
        <w:rPr>
          <w:rtl/>
        </w:rPr>
        <w:tab/>
        <w:t>شكر الرسول لأجل ثمر الإنجيل في الكولوسّيّين (6:1)</w:t>
      </w:r>
    </w:p>
    <w:p w:rsidR="00000000" w:rsidRDefault="00BC7D43">
      <w:pPr>
        <w:pStyle w:val="OUT4"/>
        <w:rPr>
          <w:rtl/>
        </w:rPr>
      </w:pPr>
      <w:r>
        <w:rPr>
          <w:rtl/>
        </w:rPr>
        <w:t>ج.</w:t>
      </w:r>
      <w:r>
        <w:rPr>
          <w:rtl/>
        </w:rPr>
        <w:tab/>
        <w:t>شكر الرسول لأجل خدمة أبفراس بين الكولوسّيّين (7:1-8)</w:t>
      </w:r>
    </w:p>
    <w:p w:rsidR="00000000" w:rsidRDefault="00BC7D43">
      <w:pPr>
        <w:pStyle w:val="OUT3"/>
        <w:rPr>
          <w:rtl/>
        </w:rPr>
      </w:pPr>
      <w:r>
        <w:rPr>
          <w:rtl/>
        </w:rPr>
        <w:t>3.</w:t>
      </w:r>
      <w:r>
        <w:rPr>
          <w:rtl/>
        </w:rPr>
        <w:tab/>
        <w:t>صلاة بولس من أجل ال</w:t>
      </w:r>
      <w:r>
        <w:rPr>
          <w:rtl/>
        </w:rPr>
        <w:t>كولوسّيّين ترجو نضوجهم الكامل في المسيح (9:1-14)</w:t>
      </w:r>
    </w:p>
    <w:p w:rsidR="00000000" w:rsidRDefault="00BC7D43">
      <w:pPr>
        <w:pStyle w:val="OUT4"/>
        <w:rPr>
          <w:rtl/>
        </w:rPr>
      </w:pPr>
      <w:r>
        <w:rPr>
          <w:rtl/>
        </w:rPr>
        <w:t>أ.</w:t>
      </w:r>
      <w:r>
        <w:rPr>
          <w:rtl/>
        </w:rPr>
        <w:tab/>
        <w:t>الصلاة لمعرفة مشيئة اللّه (9:1)</w:t>
      </w:r>
    </w:p>
    <w:p w:rsidR="00000000" w:rsidRDefault="00BC7D43">
      <w:pPr>
        <w:pStyle w:val="OUT4"/>
        <w:rPr>
          <w:rtl/>
        </w:rPr>
      </w:pPr>
      <w:r>
        <w:rPr>
          <w:rtl/>
        </w:rPr>
        <w:t>ب.</w:t>
      </w:r>
      <w:r>
        <w:rPr>
          <w:rtl/>
        </w:rPr>
        <w:tab/>
        <w:t>الصلاة لظهور مشيئة اللّه في الحياة العمليّة (10:1-11)</w:t>
      </w:r>
    </w:p>
    <w:p w:rsidR="00000000" w:rsidRDefault="00BC7D43">
      <w:pPr>
        <w:pStyle w:val="OUT5"/>
        <w:rPr>
          <w:rtl/>
        </w:rPr>
      </w:pPr>
      <w:r>
        <w:rPr>
          <w:rtl/>
        </w:rPr>
        <w:t>1)</w:t>
      </w:r>
      <w:r>
        <w:rPr>
          <w:rtl/>
        </w:rPr>
        <w:tab/>
        <w:t>الإثمار في الأعمال الصالحة (10:1أ)</w:t>
      </w:r>
    </w:p>
    <w:p w:rsidR="00000000" w:rsidRDefault="00BC7D43">
      <w:pPr>
        <w:pStyle w:val="OUT5"/>
        <w:rPr>
          <w:rtl/>
        </w:rPr>
      </w:pPr>
      <w:r>
        <w:rPr>
          <w:rtl/>
        </w:rPr>
        <w:t>2)</w:t>
      </w:r>
      <w:r>
        <w:rPr>
          <w:rtl/>
        </w:rPr>
        <w:tab/>
        <w:t>النمو في معرفة اللّه (10:ب)</w:t>
      </w:r>
    </w:p>
    <w:p w:rsidR="00000000" w:rsidRDefault="00BC7D43">
      <w:pPr>
        <w:pStyle w:val="OUT5"/>
        <w:rPr>
          <w:rtl/>
        </w:rPr>
      </w:pPr>
      <w:r>
        <w:rPr>
          <w:rtl/>
        </w:rPr>
        <w:t>3)</w:t>
      </w:r>
      <w:r>
        <w:rPr>
          <w:rtl/>
        </w:rPr>
        <w:tab/>
        <w:t>التقوّي فيه للصبر (11:1)</w:t>
      </w:r>
    </w:p>
    <w:p w:rsidR="00000000" w:rsidRDefault="00BC7D43">
      <w:pPr>
        <w:pStyle w:val="OUT4"/>
        <w:rPr>
          <w:rtl/>
        </w:rPr>
      </w:pPr>
      <w:r>
        <w:rPr>
          <w:rtl/>
        </w:rPr>
        <w:t>ج.</w:t>
      </w:r>
      <w:r>
        <w:rPr>
          <w:rtl/>
        </w:rPr>
        <w:tab/>
        <w:t>الصلاة من أجل تقدير عمل الآب في المسيح (12:1-14)</w:t>
      </w:r>
    </w:p>
    <w:p w:rsidR="00000000" w:rsidRDefault="00BC7D43">
      <w:pPr>
        <w:pStyle w:val="OUT2"/>
        <w:rPr>
          <w:rtl/>
        </w:rPr>
      </w:pPr>
      <w:r>
        <w:rPr>
          <w:rtl/>
        </w:rPr>
        <w:t>ب-</w:t>
      </w:r>
      <w:r>
        <w:rPr>
          <w:rtl/>
        </w:rPr>
        <w:tab/>
        <w:t>سموّ المسيح ظاهر في عمله الفدائي كابن اللّه الأزلي (15:1-29)</w:t>
      </w:r>
    </w:p>
    <w:p w:rsidR="00000000" w:rsidRDefault="00BC7D43">
      <w:pPr>
        <w:pStyle w:val="OUT3"/>
        <w:rPr>
          <w:rtl/>
        </w:rPr>
      </w:pPr>
      <w:r>
        <w:rPr>
          <w:rtl/>
        </w:rPr>
        <w:lastRenderedPageBreak/>
        <w:t>1.</w:t>
      </w:r>
      <w:r>
        <w:rPr>
          <w:rtl/>
        </w:rPr>
        <w:tab/>
        <w:t>سموّ المسيح ظاهر في مركزه في الخليقة (15:1-19)</w:t>
      </w:r>
    </w:p>
    <w:p w:rsidR="00000000" w:rsidRDefault="00BC7D43">
      <w:pPr>
        <w:pStyle w:val="OUT4"/>
        <w:rPr>
          <w:rtl/>
        </w:rPr>
      </w:pPr>
      <w:r>
        <w:rPr>
          <w:rtl/>
        </w:rPr>
        <w:t>أ.</w:t>
      </w:r>
      <w:r>
        <w:rPr>
          <w:rtl/>
        </w:rPr>
        <w:tab/>
        <w:t>المسيح في علاقته مع اللّه (15:1)</w:t>
      </w:r>
      <w:r>
        <w:rPr>
          <w:rStyle w:val="FootnoteReference"/>
          <w:rtl/>
        </w:rPr>
        <w:footnoteReference w:id="5"/>
      </w:r>
    </w:p>
    <w:p w:rsidR="00000000" w:rsidRDefault="00BC7D43">
      <w:pPr>
        <w:pStyle w:val="OUT4"/>
        <w:rPr>
          <w:rtl/>
        </w:rPr>
      </w:pPr>
      <w:r>
        <w:rPr>
          <w:rtl/>
        </w:rPr>
        <w:t>ب.</w:t>
      </w:r>
      <w:r>
        <w:rPr>
          <w:rtl/>
        </w:rPr>
        <w:tab/>
        <w:t>المسيح في علاقته مع الخليقة (16:1-17)</w:t>
      </w:r>
    </w:p>
    <w:p w:rsidR="00000000" w:rsidRDefault="00BC7D43">
      <w:pPr>
        <w:pStyle w:val="OUT4"/>
        <w:rPr>
          <w:rtl/>
        </w:rPr>
      </w:pPr>
      <w:r>
        <w:rPr>
          <w:rtl/>
        </w:rPr>
        <w:t>ج.</w:t>
      </w:r>
      <w:r>
        <w:rPr>
          <w:rtl/>
        </w:rPr>
        <w:tab/>
        <w:t>المسيح في علاقته مع الكنيسة</w:t>
      </w:r>
      <w:r>
        <w:rPr>
          <w:rtl/>
        </w:rPr>
        <w:t xml:space="preserve"> (18:1-19)</w:t>
      </w:r>
      <w:r>
        <w:rPr>
          <w:rStyle w:val="FootnoteReference"/>
          <w:rtl/>
        </w:rPr>
        <w:footnoteReference w:id="6"/>
      </w:r>
    </w:p>
    <w:p w:rsidR="00000000" w:rsidRDefault="00BC7D43">
      <w:pPr>
        <w:pStyle w:val="OUT3"/>
        <w:rPr>
          <w:rtl/>
        </w:rPr>
      </w:pPr>
      <w:r>
        <w:rPr>
          <w:rtl/>
        </w:rPr>
        <w:t>2.</w:t>
      </w:r>
      <w:r>
        <w:rPr>
          <w:rtl/>
        </w:rPr>
        <w:tab/>
        <w:t>سموّ المسيح ظاهر في فدائه للكنيسة ومصالحتها مع اللّه (20:1-23)</w:t>
      </w:r>
      <w:r>
        <w:rPr>
          <w:rStyle w:val="FootnoteReference"/>
          <w:rtl/>
        </w:rPr>
        <w:footnoteReference w:id="7"/>
      </w:r>
    </w:p>
    <w:p w:rsidR="00000000" w:rsidRDefault="00BC7D43">
      <w:pPr>
        <w:pStyle w:val="OUT3"/>
        <w:rPr>
          <w:rtl/>
        </w:rPr>
      </w:pPr>
      <w:r>
        <w:rPr>
          <w:rtl/>
        </w:rPr>
        <w:t>3.</w:t>
      </w:r>
      <w:r>
        <w:rPr>
          <w:rtl/>
        </w:rPr>
        <w:tab/>
        <w:t>سموّ المسيح ظاهر في خدمة بولس للكنيسة (24:1-29)</w:t>
      </w:r>
      <w:r>
        <w:rPr>
          <w:rStyle w:val="FootnoteReference"/>
          <w:rtl/>
        </w:rPr>
        <w:footnoteReference w:id="8"/>
      </w:r>
    </w:p>
    <w:p w:rsidR="00000000" w:rsidRDefault="00BC7D43">
      <w:pPr>
        <w:pStyle w:val="OUT2"/>
        <w:rPr>
          <w:rtl/>
        </w:rPr>
      </w:pPr>
      <w:r>
        <w:rPr>
          <w:rtl/>
        </w:rPr>
        <w:t>ج-</w:t>
      </w:r>
      <w:r>
        <w:rPr>
          <w:rtl/>
        </w:rPr>
        <w:tab/>
        <w:t>فداء المسيح كما يجب أن يظهر في تصرّف الكنيسة التعليمي (1:2-23)</w:t>
      </w:r>
    </w:p>
    <w:p w:rsidR="00000000" w:rsidRDefault="00BC7D43">
      <w:pPr>
        <w:pStyle w:val="OUT3"/>
        <w:rPr>
          <w:rtl/>
        </w:rPr>
      </w:pPr>
      <w:r>
        <w:rPr>
          <w:rtl/>
        </w:rPr>
        <w:t>1.</w:t>
      </w:r>
      <w:r>
        <w:rPr>
          <w:rtl/>
        </w:rPr>
        <w:tab/>
        <w:t>ارتكاز الكنيسة على حكمة المسيح المتسامية يحرّرها من خداع المتملّقين (1:2-7)</w:t>
      </w:r>
    </w:p>
    <w:p w:rsidR="00000000" w:rsidRDefault="00BC7D43">
      <w:pPr>
        <w:pStyle w:val="OUT4"/>
        <w:rPr>
          <w:rtl/>
        </w:rPr>
      </w:pPr>
      <w:r>
        <w:rPr>
          <w:rtl/>
        </w:rPr>
        <w:t>أ.</w:t>
      </w:r>
      <w:r>
        <w:rPr>
          <w:rtl/>
        </w:rPr>
        <w:tab/>
        <w:t>خداع المتملّقين يحتّم ارتكاز الكنيسة على حكمة المسيح (1:2-5)</w:t>
      </w:r>
    </w:p>
    <w:p w:rsidR="00000000" w:rsidRDefault="00BC7D43">
      <w:pPr>
        <w:pStyle w:val="OUT4"/>
        <w:rPr>
          <w:rtl/>
        </w:rPr>
      </w:pPr>
      <w:r>
        <w:rPr>
          <w:rtl/>
        </w:rPr>
        <w:t>ب.</w:t>
      </w:r>
      <w:r>
        <w:rPr>
          <w:rtl/>
        </w:rPr>
        <w:tab/>
        <w:t>ارتكاز الكنيسة على حكمة المسيح يظهر بالحياة المتناسبة مع ربوبيّته (6:2-7)</w:t>
      </w:r>
    </w:p>
    <w:p w:rsidR="00000000" w:rsidRDefault="00BC7D43">
      <w:pPr>
        <w:pStyle w:val="OUT5"/>
        <w:rPr>
          <w:rtl/>
        </w:rPr>
      </w:pPr>
      <w:r>
        <w:rPr>
          <w:rtl/>
        </w:rPr>
        <w:t>1)</w:t>
      </w:r>
      <w:r>
        <w:rPr>
          <w:rtl/>
        </w:rPr>
        <w:tab/>
        <w:t>التبرير يحدّد التقديس (6:2)</w:t>
      </w:r>
    </w:p>
    <w:p w:rsidR="00000000" w:rsidRDefault="00BC7D43">
      <w:pPr>
        <w:pStyle w:val="OUT5"/>
        <w:rPr>
          <w:rtl/>
        </w:rPr>
      </w:pPr>
      <w:r>
        <w:rPr>
          <w:rtl/>
        </w:rPr>
        <w:t>2)</w:t>
      </w:r>
      <w:r>
        <w:rPr>
          <w:rtl/>
        </w:rPr>
        <w:tab/>
        <w:t>الطريقة: 1-تأسيس 2- بنيان 3- توطيد 4- شكر (7:2)</w:t>
      </w:r>
    </w:p>
    <w:p w:rsidR="00000000" w:rsidRDefault="00BC7D43">
      <w:pPr>
        <w:pStyle w:val="OUT3"/>
        <w:rPr>
          <w:rtl/>
        </w:rPr>
      </w:pPr>
      <w:r>
        <w:rPr>
          <w:rtl/>
        </w:rPr>
        <w:t>2.</w:t>
      </w:r>
      <w:r>
        <w:rPr>
          <w:rtl/>
        </w:rPr>
        <w:tab/>
        <w:t>ارتكاز الك</w:t>
      </w:r>
      <w:r>
        <w:rPr>
          <w:rtl/>
        </w:rPr>
        <w:t>نيسة على حقيقة الفداء الإلهي يحرّرها من غرور الفلسفة العالميّة (8:2-15)</w:t>
      </w:r>
      <w:r>
        <w:rPr>
          <w:rStyle w:val="FootnoteReference"/>
          <w:rtl/>
        </w:rPr>
        <w:footnoteReference w:id="9"/>
      </w:r>
    </w:p>
    <w:p w:rsidR="00000000" w:rsidRDefault="00BC7D43">
      <w:pPr>
        <w:pStyle w:val="OUT4"/>
        <w:rPr>
          <w:rtl/>
        </w:rPr>
      </w:pPr>
      <w:r>
        <w:rPr>
          <w:rtl/>
        </w:rPr>
        <w:t>أ.</w:t>
      </w:r>
      <w:r>
        <w:rPr>
          <w:rtl/>
        </w:rPr>
        <w:tab/>
        <w:t>التحذير من غرور الفلسفة (8:2)</w:t>
      </w:r>
    </w:p>
    <w:p w:rsidR="00000000" w:rsidRDefault="00BC7D43">
      <w:pPr>
        <w:pStyle w:val="OUT4"/>
        <w:rPr>
          <w:rtl/>
        </w:rPr>
      </w:pPr>
      <w:r>
        <w:rPr>
          <w:rtl/>
        </w:rPr>
        <w:t>ب.</w:t>
      </w:r>
      <w:r>
        <w:rPr>
          <w:rtl/>
        </w:rPr>
        <w:tab/>
        <w:t>حقيقة الفداء الإلهي (9:2-12)</w:t>
      </w:r>
    </w:p>
    <w:p w:rsidR="00000000" w:rsidRDefault="00BC7D43">
      <w:pPr>
        <w:pStyle w:val="OUT5"/>
        <w:rPr>
          <w:rtl/>
        </w:rPr>
      </w:pPr>
      <w:r>
        <w:rPr>
          <w:rtl/>
        </w:rPr>
        <w:t>1)</w:t>
      </w:r>
      <w:r>
        <w:rPr>
          <w:rtl/>
        </w:rPr>
        <w:tab/>
        <w:t>ملء اللاّهوت في جسد المسيح (9:2)</w:t>
      </w:r>
    </w:p>
    <w:p w:rsidR="00000000" w:rsidRDefault="00BC7D43">
      <w:pPr>
        <w:pStyle w:val="OUT5"/>
        <w:rPr>
          <w:rtl/>
        </w:rPr>
      </w:pPr>
      <w:r>
        <w:rPr>
          <w:rtl/>
        </w:rPr>
        <w:t>2)</w:t>
      </w:r>
      <w:r>
        <w:rPr>
          <w:rtl/>
        </w:rPr>
        <w:tab/>
        <w:t>ملء المسيح في حياة المؤمنين (10:2)</w:t>
      </w:r>
    </w:p>
    <w:p w:rsidR="00000000" w:rsidRDefault="00BC7D43">
      <w:pPr>
        <w:pStyle w:val="OUT5"/>
        <w:rPr>
          <w:rtl/>
        </w:rPr>
      </w:pPr>
      <w:r>
        <w:rPr>
          <w:rtl/>
        </w:rPr>
        <w:t>3)</w:t>
      </w:r>
      <w:r>
        <w:rPr>
          <w:rtl/>
        </w:rPr>
        <w:tab/>
        <w:t>ختان المؤمنين القلبي بإيمان المعموديّة (11:2-12)</w:t>
      </w:r>
    </w:p>
    <w:p w:rsidR="00000000" w:rsidRDefault="00BC7D43">
      <w:pPr>
        <w:pStyle w:val="OUT4"/>
        <w:rPr>
          <w:rtl/>
        </w:rPr>
      </w:pPr>
      <w:r>
        <w:rPr>
          <w:rtl/>
        </w:rPr>
        <w:t>ج.</w:t>
      </w:r>
      <w:r>
        <w:rPr>
          <w:rtl/>
        </w:rPr>
        <w:tab/>
        <w:t>نتائج عمل الفداء الإلهي (13:2-15)</w:t>
      </w:r>
    </w:p>
    <w:p w:rsidR="00000000" w:rsidRDefault="00BC7D43">
      <w:pPr>
        <w:pStyle w:val="OUT5"/>
        <w:rPr>
          <w:rtl/>
        </w:rPr>
      </w:pPr>
      <w:r>
        <w:rPr>
          <w:rtl/>
        </w:rPr>
        <w:t>1)</w:t>
      </w:r>
      <w:r>
        <w:rPr>
          <w:rtl/>
        </w:rPr>
        <w:tab/>
        <w:t>الحياة الجديدة في المسيح (13:2أ)</w:t>
      </w:r>
    </w:p>
    <w:p w:rsidR="00000000" w:rsidRDefault="00BC7D43">
      <w:pPr>
        <w:pStyle w:val="OUT5"/>
        <w:rPr>
          <w:rtl/>
        </w:rPr>
      </w:pPr>
      <w:r>
        <w:rPr>
          <w:rtl/>
        </w:rPr>
        <w:t>2)</w:t>
      </w:r>
      <w:r>
        <w:rPr>
          <w:rtl/>
        </w:rPr>
        <w:tab/>
        <w:t>غفران الخطايا في المسيح (13:2ب-14)</w:t>
      </w:r>
    </w:p>
    <w:p w:rsidR="00000000" w:rsidRDefault="00BC7D43">
      <w:pPr>
        <w:pStyle w:val="OUT5"/>
        <w:rPr>
          <w:rtl/>
        </w:rPr>
      </w:pPr>
      <w:r>
        <w:rPr>
          <w:rtl/>
        </w:rPr>
        <w:t>3)</w:t>
      </w:r>
      <w:r>
        <w:rPr>
          <w:rtl/>
        </w:rPr>
        <w:tab/>
        <w:t>النصرة الأكيدة على الشرّ والخطيّة (15:2)</w:t>
      </w:r>
    </w:p>
    <w:p w:rsidR="00000000" w:rsidRDefault="00BC7D43">
      <w:pPr>
        <w:pStyle w:val="OUT3"/>
        <w:rPr>
          <w:rtl/>
        </w:rPr>
      </w:pPr>
      <w:r>
        <w:rPr>
          <w:rtl/>
        </w:rPr>
        <w:t>3.</w:t>
      </w:r>
      <w:r>
        <w:rPr>
          <w:rtl/>
        </w:rPr>
        <w:tab/>
        <w:t>تمسّك الكنيسة بالمسيح الرأس يحرّرها من الناموسيّة والتواضع الجسدي (16:2-19)</w:t>
      </w:r>
    </w:p>
    <w:p w:rsidR="00000000" w:rsidRDefault="00BC7D43">
      <w:pPr>
        <w:pStyle w:val="OUT4"/>
        <w:rPr>
          <w:rtl/>
        </w:rPr>
      </w:pPr>
      <w:r>
        <w:rPr>
          <w:rtl/>
        </w:rPr>
        <w:t>أ.</w:t>
      </w:r>
      <w:r>
        <w:rPr>
          <w:rtl/>
        </w:rPr>
        <w:tab/>
        <w:t>تحرّر الكني</w:t>
      </w:r>
      <w:r>
        <w:rPr>
          <w:rtl/>
        </w:rPr>
        <w:t>سة من الناموسيّة (16:2-17)</w:t>
      </w:r>
    </w:p>
    <w:p w:rsidR="00000000" w:rsidRDefault="00BC7D43">
      <w:pPr>
        <w:pStyle w:val="OUT4"/>
        <w:rPr>
          <w:rtl/>
        </w:rPr>
      </w:pPr>
      <w:r>
        <w:rPr>
          <w:rtl/>
        </w:rPr>
        <w:t>ب.</w:t>
      </w:r>
      <w:r>
        <w:rPr>
          <w:rtl/>
        </w:rPr>
        <w:tab/>
        <w:t>تحرّر الكنيسة من التواضع الجسدي (18:2-19)</w:t>
      </w:r>
    </w:p>
    <w:p w:rsidR="00000000" w:rsidRDefault="00BC7D43">
      <w:pPr>
        <w:pStyle w:val="OUT3"/>
        <w:rPr>
          <w:rtl/>
        </w:rPr>
      </w:pPr>
      <w:r>
        <w:rPr>
          <w:rtl/>
        </w:rPr>
        <w:lastRenderedPageBreak/>
        <w:t>4.</w:t>
      </w:r>
      <w:r>
        <w:rPr>
          <w:rtl/>
        </w:rPr>
        <w:tab/>
        <w:t>تمسّك الكنيسة بحقيقة موتها مع المسيح يحرّرها من حياة التقشّف البشري (20:2-23)</w:t>
      </w:r>
      <w:r>
        <w:rPr>
          <w:rStyle w:val="FootnoteReference"/>
          <w:rtl/>
        </w:rPr>
        <w:footnoteReference w:id="10"/>
      </w:r>
    </w:p>
    <w:p w:rsidR="00000000" w:rsidRDefault="00BC7D43">
      <w:pPr>
        <w:pStyle w:val="OUT1"/>
        <w:rPr>
          <w:rtl/>
        </w:rPr>
      </w:pPr>
      <w:r>
        <w:rPr>
          <w:rtl/>
        </w:rPr>
        <w:t>2- سموّ المسيح معلن في سلوك الكنيسة بحسب حقيقة الفداء (1:3-18:4)</w:t>
      </w:r>
    </w:p>
    <w:p w:rsidR="00000000" w:rsidRDefault="00BC7D43">
      <w:pPr>
        <w:pStyle w:val="OUT2"/>
        <w:rPr>
          <w:rtl/>
        </w:rPr>
      </w:pPr>
      <w:r>
        <w:rPr>
          <w:rtl/>
        </w:rPr>
        <w:t>أ-</w:t>
      </w:r>
      <w:r>
        <w:rPr>
          <w:rtl/>
        </w:rPr>
        <w:tab/>
        <w:t>حقيقة الفداء تؤمّن مركزاً مجيداً للمؤمن في المسيح (1:3-4)</w:t>
      </w:r>
    </w:p>
    <w:p w:rsidR="00000000" w:rsidRDefault="00BC7D43">
      <w:pPr>
        <w:pStyle w:val="OUT3"/>
        <w:rPr>
          <w:rtl/>
        </w:rPr>
      </w:pPr>
      <w:r>
        <w:rPr>
          <w:rtl/>
        </w:rPr>
        <w:t>1.</w:t>
      </w:r>
      <w:r>
        <w:rPr>
          <w:rtl/>
        </w:rPr>
        <w:tab/>
        <w:t>مركز المؤمن المجيد في المسيح يتطلّب اهتمامه بالامور السماويّة (1:3-2)</w:t>
      </w:r>
    </w:p>
    <w:p w:rsidR="00000000" w:rsidRDefault="00BC7D43">
      <w:pPr>
        <w:pStyle w:val="OUT3"/>
        <w:rPr>
          <w:rtl/>
        </w:rPr>
      </w:pPr>
      <w:r>
        <w:rPr>
          <w:rtl/>
        </w:rPr>
        <w:t>2.</w:t>
      </w:r>
      <w:r>
        <w:rPr>
          <w:rtl/>
        </w:rPr>
        <w:tab/>
        <w:t>الاهتمام السماوي ينطلق من موت المؤمن مع المسيح ورجائه في المجد عند مجيئه (3:2-4)</w:t>
      </w:r>
    </w:p>
    <w:p w:rsidR="00000000" w:rsidRDefault="00BC7D43">
      <w:pPr>
        <w:pStyle w:val="OUT2"/>
        <w:rPr>
          <w:rtl/>
        </w:rPr>
      </w:pPr>
      <w:r>
        <w:rPr>
          <w:rtl/>
        </w:rPr>
        <w:t>ب-</w:t>
      </w:r>
      <w:r>
        <w:rPr>
          <w:rtl/>
        </w:rPr>
        <w:tab/>
        <w:t>حقيقة الفداء كما يجب أن تنعكس في سلوك المؤمن الشخصي (5:3-17)</w:t>
      </w:r>
    </w:p>
    <w:p w:rsidR="00000000" w:rsidRDefault="00BC7D43">
      <w:pPr>
        <w:pStyle w:val="OUT3"/>
        <w:rPr>
          <w:rtl/>
        </w:rPr>
      </w:pPr>
      <w:r>
        <w:rPr>
          <w:rtl/>
        </w:rPr>
        <w:t>1.</w:t>
      </w:r>
      <w:r>
        <w:rPr>
          <w:rtl/>
        </w:rPr>
        <w:tab/>
        <w:t>سلوك الم</w:t>
      </w:r>
      <w:r>
        <w:rPr>
          <w:rtl/>
        </w:rPr>
        <w:t>ؤمن الشخصي بحسب حقّ الفداء يتطلّب خلع الإنسان العتيق (5:3-9أ)</w:t>
      </w:r>
    </w:p>
    <w:p w:rsidR="00000000" w:rsidRDefault="00BC7D43">
      <w:pPr>
        <w:pStyle w:val="OUT3"/>
        <w:rPr>
          <w:rtl/>
        </w:rPr>
      </w:pPr>
      <w:r>
        <w:rPr>
          <w:rtl/>
        </w:rPr>
        <w:t>2.</w:t>
      </w:r>
      <w:r>
        <w:rPr>
          <w:rtl/>
        </w:rPr>
        <w:tab/>
        <w:t>سلوك المؤمن الشخصي مؤسّس على حقيقة التجديد في المسيح (9:3ب-11)</w:t>
      </w:r>
    </w:p>
    <w:p w:rsidR="00000000" w:rsidRDefault="00BC7D43">
      <w:pPr>
        <w:pStyle w:val="OUT3"/>
        <w:rPr>
          <w:rtl/>
        </w:rPr>
      </w:pPr>
      <w:r>
        <w:rPr>
          <w:rtl/>
        </w:rPr>
        <w:t>3.</w:t>
      </w:r>
      <w:r>
        <w:rPr>
          <w:rtl/>
        </w:rPr>
        <w:tab/>
        <w:t>سلوك المؤمن الشخصي بحسب حقّ الفداء يتطلّب لبس الإنسان الجديد (12:3-17)</w:t>
      </w:r>
    </w:p>
    <w:p w:rsidR="00000000" w:rsidRDefault="00BC7D43">
      <w:pPr>
        <w:pStyle w:val="OUT2"/>
        <w:rPr>
          <w:rtl/>
        </w:rPr>
      </w:pPr>
      <w:r>
        <w:rPr>
          <w:rtl/>
        </w:rPr>
        <w:t>ج-</w:t>
      </w:r>
      <w:r>
        <w:rPr>
          <w:rtl/>
        </w:rPr>
        <w:tab/>
        <w:t>حقيقة الفداء كما يجب أن تنعكس في سلوك المؤمن الاجتماعي (18:3-1:4)</w:t>
      </w:r>
    </w:p>
    <w:p w:rsidR="00000000" w:rsidRDefault="00BC7D43">
      <w:pPr>
        <w:pStyle w:val="OUT3"/>
        <w:rPr>
          <w:rtl/>
        </w:rPr>
      </w:pPr>
      <w:r>
        <w:rPr>
          <w:rtl/>
        </w:rPr>
        <w:t>1.</w:t>
      </w:r>
      <w:r>
        <w:rPr>
          <w:rtl/>
        </w:rPr>
        <w:tab/>
        <w:t>سلوك المؤمن الاجتماعي بحسب حقّ الفداء يتمثّل في خضوع النساء لرجالهنّ (18:3)</w:t>
      </w:r>
    </w:p>
    <w:p w:rsidR="00000000" w:rsidRDefault="00BC7D43">
      <w:pPr>
        <w:pStyle w:val="OUT3"/>
        <w:rPr>
          <w:rtl/>
        </w:rPr>
      </w:pPr>
      <w:r>
        <w:rPr>
          <w:rtl/>
        </w:rPr>
        <w:t>2.</w:t>
      </w:r>
      <w:r>
        <w:rPr>
          <w:rtl/>
        </w:rPr>
        <w:tab/>
        <w:t>سلوك المؤمن الاجتماعي بحسب حقّ الفداء يتمثّل في محبّة الرجال لنسائهم (19:3)</w:t>
      </w:r>
    </w:p>
    <w:p w:rsidR="00000000" w:rsidRDefault="00BC7D43">
      <w:pPr>
        <w:pStyle w:val="OUT3"/>
        <w:rPr>
          <w:rtl/>
        </w:rPr>
      </w:pPr>
      <w:r>
        <w:rPr>
          <w:rtl/>
        </w:rPr>
        <w:t>3.</w:t>
      </w:r>
      <w:r>
        <w:rPr>
          <w:rtl/>
        </w:rPr>
        <w:tab/>
        <w:t>سلوك المؤمن الاجتماعي بحسب حقّ الفداء يتمثّل في إطاعة الأولاد لوالديهم (20:3)</w:t>
      </w:r>
    </w:p>
    <w:p w:rsidR="00000000" w:rsidRDefault="00BC7D43">
      <w:pPr>
        <w:pStyle w:val="OUT3"/>
        <w:rPr>
          <w:rtl/>
        </w:rPr>
      </w:pPr>
      <w:r>
        <w:rPr>
          <w:rtl/>
        </w:rPr>
        <w:t>4.</w:t>
      </w:r>
      <w:r>
        <w:rPr>
          <w:rtl/>
        </w:rPr>
        <w:tab/>
        <w:t>سلوك المؤمن الاجتماعي بحسب حقّ الفداء يتمثّل في عدم إغاظة الآباء لأولادهم (21:3)</w:t>
      </w:r>
    </w:p>
    <w:p w:rsidR="00000000" w:rsidRDefault="00BC7D43">
      <w:pPr>
        <w:pStyle w:val="OUT3"/>
        <w:rPr>
          <w:rtl/>
        </w:rPr>
      </w:pPr>
      <w:r>
        <w:rPr>
          <w:rtl/>
        </w:rPr>
        <w:t>5.</w:t>
      </w:r>
      <w:r>
        <w:rPr>
          <w:rtl/>
        </w:rPr>
        <w:tab/>
        <w:t>سلوك المؤمن الاجتماعي بحسب حقّ الفداء يتمثّل في خضوع العبيد لسادتهم (22:3-25)</w:t>
      </w:r>
    </w:p>
    <w:p w:rsidR="00000000" w:rsidRDefault="00BC7D43">
      <w:pPr>
        <w:pStyle w:val="OUT3"/>
        <w:rPr>
          <w:rtl/>
        </w:rPr>
      </w:pPr>
      <w:r>
        <w:rPr>
          <w:rtl/>
        </w:rPr>
        <w:t>6.</w:t>
      </w:r>
      <w:r>
        <w:rPr>
          <w:rtl/>
        </w:rPr>
        <w:tab/>
        <w:t>سلوك المؤمن الاجتماعي بحسب حقّ الفداء يتمثّل في عدل السادة مع العبيد (1:4)</w:t>
      </w:r>
    </w:p>
    <w:p w:rsidR="00000000" w:rsidRDefault="00BC7D43">
      <w:pPr>
        <w:pStyle w:val="OUT2"/>
        <w:rPr>
          <w:rtl/>
        </w:rPr>
      </w:pPr>
      <w:r>
        <w:rPr>
          <w:rtl/>
        </w:rPr>
        <w:t>د-</w:t>
      </w:r>
      <w:r>
        <w:rPr>
          <w:rtl/>
        </w:rPr>
        <w:tab/>
        <w:t>حقيقة الفداء كما يجب أن تنعكس في شهادة المؤمن في العالم (2:4-6)</w:t>
      </w:r>
    </w:p>
    <w:p w:rsidR="00000000" w:rsidRDefault="00BC7D43">
      <w:pPr>
        <w:pStyle w:val="OUT3"/>
        <w:rPr>
          <w:rtl/>
        </w:rPr>
      </w:pPr>
      <w:r>
        <w:rPr>
          <w:rtl/>
        </w:rPr>
        <w:t>1.</w:t>
      </w:r>
      <w:r>
        <w:rPr>
          <w:rtl/>
        </w:rPr>
        <w:tab/>
        <w:t>شهادة المؤمن في العالم تتقدّم بالسهر في الصلاة (2:4-4)</w:t>
      </w:r>
    </w:p>
    <w:p w:rsidR="00000000" w:rsidRDefault="00BC7D43">
      <w:pPr>
        <w:pStyle w:val="OUT3"/>
        <w:rPr>
          <w:rtl/>
        </w:rPr>
      </w:pPr>
      <w:r>
        <w:rPr>
          <w:rtl/>
        </w:rPr>
        <w:t>2.</w:t>
      </w:r>
      <w:r>
        <w:rPr>
          <w:rtl/>
        </w:rPr>
        <w:tab/>
        <w:t>شهادة المؤمن في العالم تُنقّى بالسلوك في الحكمة (5:4)</w:t>
      </w:r>
    </w:p>
    <w:p w:rsidR="00000000" w:rsidRDefault="00BC7D43">
      <w:pPr>
        <w:pStyle w:val="OUT3"/>
        <w:rPr>
          <w:rtl/>
        </w:rPr>
      </w:pPr>
      <w:r>
        <w:rPr>
          <w:rtl/>
        </w:rPr>
        <w:t>3.</w:t>
      </w:r>
      <w:r>
        <w:rPr>
          <w:rtl/>
        </w:rPr>
        <w:tab/>
        <w:t>شهادة المؤمن في العالم تُحفظ بالكلام المملّح (6:4)</w:t>
      </w:r>
    </w:p>
    <w:p w:rsidR="00000000" w:rsidRDefault="00BC7D43">
      <w:pPr>
        <w:pStyle w:val="OUT2"/>
        <w:rPr>
          <w:rtl/>
        </w:rPr>
      </w:pPr>
      <w:r>
        <w:rPr>
          <w:rtl/>
        </w:rPr>
        <w:t>ه-</w:t>
      </w:r>
      <w:r>
        <w:rPr>
          <w:rtl/>
        </w:rPr>
        <w:tab/>
        <w:t>حقيقة الفداء كما تعكسها كلمات ال</w:t>
      </w:r>
      <w:r>
        <w:rPr>
          <w:rtl/>
        </w:rPr>
        <w:t>رسول الختاميّة (7:4-18)</w:t>
      </w:r>
    </w:p>
    <w:p w:rsidR="00000000" w:rsidRDefault="00BC7D43">
      <w:pPr>
        <w:pStyle w:val="OUT3"/>
        <w:rPr>
          <w:rtl/>
        </w:rPr>
      </w:pPr>
      <w:r>
        <w:rPr>
          <w:rtl/>
        </w:rPr>
        <w:t>1.</w:t>
      </w:r>
      <w:r>
        <w:rPr>
          <w:rtl/>
        </w:rPr>
        <w:tab/>
        <w:t>توصية بولس بتيخيكس وأونسيمس تكشف أمانتهما في الخدمة وحمل الرسالة (7:4-9)</w:t>
      </w:r>
    </w:p>
    <w:p w:rsidR="00000000" w:rsidRDefault="00BC7D43">
      <w:pPr>
        <w:pStyle w:val="OUT3"/>
        <w:rPr>
          <w:rtl/>
        </w:rPr>
      </w:pPr>
      <w:r>
        <w:rPr>
          <w:rtl/>
        </w:rPr>
        <w:t>2.</w:t>
      </w:r>
      <w:r>
        <w:rPr>
          <w:rtl/>
        </w:rPr>
        <w:tab/>
        <w:t>سلام رفقاء بولس من الختان يبيّن تكريسهم له ولخدمة الملكوت (10:4-11)</w:t>
      </w:r>
    </w:p>
    <w:p w:rsidR="00000000" w:rsidRDefault="00BC7D43">
      <w:pPr>
        <w:pStyle w:val="OUT3"/>
        <w:rPr>
          <w:rtl/>
        </w:rPr>
      </w:pPr>
      <w:r>
        <w:rPr>
          <w:rtl/>
        </w:rPr>
        <w:t>3.</w:t>
      </w:r>
      <w:r>
        <w:rPr>
          <w:rtl/>
        </w:rPr>
        <w:tab/>
        <w:t>سلام رفقاء بولس من الأمم يبيّن وجودهم معه من أجل الخدمة (12:4-14)</w:t>
      </w:r>
    </w:p>
    <w:p w:rsidR="00000000" w:rsidRDefault="00BC7D43">
      <w:pPr>
        <w:pStyle w:val="OUT3"/>
        <w:rPr>
          <w:rtl/>
        </w:rPr>
      </w:pPr>
      <w:r>
        <w:rPr>
          <w:rtl/>
        </w:rPr>
        <w:t>4.</w:t>
      </w:r>
      <w:r>
        <w:rPr>
          <w:rtl/>
        </w:rPr>
        <w:tab/>
        <w:t>توصيات بولس الختاميّة تعكس تثقّله من جهة كنيسة الكولوسّيّين (15:4-18)</w:t>
      </w:r>
    </w:p>
    <w:p w:rsidR="00000000" w:rsidRDefault="00BC7D43">
      <w:pPr>
        <w:pStyle w:val="OUT2"/>
        <w:rPr>
          <w:rtl/>
        </w:rPr>
      </w:pPr>
    </w:p>
    <w:p w:rsidR="00000000" w:rsidRDefault="00BC7D43">
      <w:pPr>
        <w:pStyle w:val="Heading2"/>
        <w:rPr>
          <w:rtl/>
        </w:rPr>
      </w:pPr>
      <w:r>
        <w:rPr>
          <w:rtl/>
        </w:rPr>
        <w:br w:type="page"/>
      </w:r>
      <w:r>
        <w:rPr>
          <w:rtl/>
        </w:rPr>
        <w:lastRenderedPageBreak/>
        <w:t>موجز السفر</w:t>
      </w:r>
    </w:p>
    <w:p w:rsidR="00000000" w:rsidRDefault="00BC7D43">
      <w:pPr>
        <w:pStyle w:val="Heading3"/>
        <w:rPr>
          <w:rtl/>
        </w:rPr>
      </w:pPr>
      <w:r>
        <w:rPr>
          <w:rtl/>
        </w:rPr>
        <w:t>فكرة السفر الرئيسيّة</w:t>
      </w:r>
    </w:p>
    <w:p w:rsidR="00000000" w:rsidRDefault="00BC7D43">
      <w:pPr>
        <w:pStyle w:val="a"/>
        <w:rPr>
          <w:rtl/>
        </w:rPr>
      </w:pPr>
      <w:r>
        <w:rPr>
          <w:rtl/>
        </w:rPr>
        <w:t>في ضوء دخول التعاليم المضلّة والفلسفات البشريّة التي تقترح طرقاً جسديّة للتقرّب من اللّه يكتب الرسول بولس إلى  كنيسة الكولوسّيّين مبيّناً لهم سموّ المسيح فوق كلّ خليق</w:t>
      </w:r>
      <w:r>
        <w:rPr>
          <w:rtl/>
        </w:rPr>
        <w:t>ة كما هو معلن في عمله الفدائي كابن اللّه الأزلي ومشدّداً على ضرورة سلوك المؤمنين الشخصي والاجتماعي في العالم كما يليق بحقيقة الفداء العظيمة هذه.</w:t>
      </w:r>
    </w:p>
    <w:p w:rsidR="00000000" w:rsidRDefault="00BC7D43">
      <w:pPr>
        <w:pStyle w:val="1"/>
        <w:rPr>
          <w:rtl/>
        </w:rPr>
      </w:pPr>
    </w:p>
    <w:p w:rsidR="00000000" w:rsidRDefault="00BC7D43">
      <w:pPr>
        <w:pStyle w:val="1"/>
        <w:rPr>
          <w:rtl/>
        </w:rPr>
      </w:pPr>
      <w:r>
        <w:rPr>
          <w:rtl/>
        </w:rPr>
        <w:t>"المسيح الكلّ وفي الكلّ" هو موضوع رسالة كولوسّي. ففي حين أنّ رسالة أفسس تركّز على الكنيسة بشكل رئيسي ويتسامى فكرها فيتّصل صعوداً بالمسيح الرأس، فإنّ رسالة كولوسّي تُركّز على المسيح ويمتدّ فكرها نزولاً إلى الكنيسة جسد المسيح. فعندما تعصف التعاليم العالميّة بالكنيسة وتتوافد الفلسفات البشريّة مقدّمة طرقاً مختلفة برّاقة محبّبة للجسد في سبيل التقرّب من اللّه، فلا شيء س</w:t>
      </w:r>
      <w:r>
        <w:rPr>
          <w:rtl/>
        </w:rPr>
        <w:t>وى المسيح الكلّ وفي الكلّ يحمي المؤمن من غرور التقوى الجسديّة. وهذا ما يفعله الرسول بولس في هذه الرسالة التي تُظهر لنا المسيح المتعالي فوق كلّ شيء. وتنقسم الرسالة إلى الأجزاء التالية: 1- سموّ المسيح معلن في عمله الفدائي كابن اللّه الأزلي (1:1-23:2)؛ 2- سموّ المسيح معلن في سلوك الكنيسة بحسب حقيقة الفداء (1:3-18:4).</w:t>
      </w:r>
    </w:p>
    <w:p w:rsidR="00000000" w:rsidRDefault="00BC7D43">
      <w:pPr>
        <w:pStyle w:val="1"/>
        <w:rPr>
          <w:rtl/>
        </w:rPr>
      </w:pPr>
      <w:r>
        <w:rPr>
          <w:b/>
          <w:bCs/>
          <w:rtl/>
        </w:rPr>
        <w:t>1- سموّ المسيح معلن في عمله الفدائي كابن اللّه الأزلي (1:1-23:2)</w:t>
      </w:r>
      <w:r>
        <w:rPr>
          <w:rtl/>
        </w:rPr>
        <w:t xml:space="preserve">. يبدأ الرسول بولس رسالته هذه إلى الكولوسّيّين مذكّراً إيّاهم بنعمة اللّه الغنيّة في تحيّته الافتتاحيّة. ثمّ يشكر اللّه من أجلهم في </w:t>
      </w:r>
      <w:r>
        <w:rPr>
          <w:rtl/>
        </w:rPr>
        <w:t>صلاة مستفيضة تبيّن تكريسهم القلبي لكلمة الإنجيل الخلاصيّة التي أثمرت فيهم معطية إيّاهم رجاءً في السموات في شخص المسيح المتعالي، وجعلت أبفراس يتكرّس لخدمتهم في الروح القدس (1:1-8). من ثمّ ينتقل بولس ليعرّف قرّاءه بطلبة قلبه من أجلهم والتي ترجو نضوجهم الكامل في المسيح. فيطلب من أجلهم لكي يعرفوا مشيئة اللّه ويعكسوا هذه المشيئة في حياتهم العمليّة وقلبهم مفعم بالشكر لأجل عمل الآب الذي عمله في المسيح يسوع لخلاصهم (9:1-14).</w:t>
      </w:r>
    </w:p>
    <w:p w:rsidR="00000000" w:rsidRDefault="00BC7D43">
      <w:pPr>
        <w:pStyle w:val="1"/>
        <w:rPr>
          <w:rtl/>
        </w:rPr>
      </w:pPr>
      <w:r>
        <w:rPr>
          <w:rtl/>
        </w:rPr>
        <w:t>ويمضي بولس بعد ذلك فيركّز حديثه على شخص الإبن الأزلي المُظهر للّه، فيصف سموّه فوق الخليقة ك</w:t>
      </w:r>
      <w:r>
        <w:rPr>
          <w:rtl/>
        </w:rPr>
        <w:t>لّها كالمبدع الذي أوجدها ويتطرّق إلى علاقته بالكنيسة كالرأس الذي يسودها، وليس ذلك فقط بل كالبكر من الأموات الذي قام بعمل الفداء العظيم مؤمّناً المصالحة العالميّة للخليقة كلّها مع اللّه، تلك المصالحة التي صار بولس خادماً للكنيسة من أجل التبشير بها بحسب إعلانات اللّه في العهد الجديد من جهة مركز الأمم الجديد في المسيح (15:1-29).</w:t>
      </w:r>
    </w:p>
    <w:p w:rsidR="00000000" w:rsidRDefault="00BC7D43">
      <w:pPr>
        <w:pStyle w:val="1"/>
        <w:rPr>
          <w:rtl/>
        </w:rPr>
      </w:pPr>
      <w:r>
        <w:rPr>
          <w:rtl/>
        </w:rPr>
        <w:t>وبعدما شرح بولس أبعاد عمل الفداء العظيمة في المسيح، ها هو الآن يحاول دحض التعاليم البشريّة التي تنتقص من قيمة هذا العمل المجيد لتؤثّر على تصرّف الكنيسة اللاّئق بسموّ المسيح وعمله (1:2-</w:t>
      </w:r>
      <w:r>
        <w:rPr>
          <w:rtl/>
        </w:rPr>
        <w:t>23). وهنا يذكّر الرسول قرّاءه بضرورة ثباتهم في حكمة ابن اللّه المتعالية وحقيقة الفداء المتسامية من أجل التحرّر من خداع المتملّقين وغرور الفلسفة العالميّة متمسّكين بالمسيح الذي يجسّد اللّه بملئه ويجدّد الحياة بروحه مؤمّناً غفراناً كاملاً للخطايا البشريّة وانتصاراً شاملاً على أجناد الشرّ الروحيّة (1:2-15). ولا ينسى بولس أن يذكّر الكولوسّيّين بأنّ التحرّر من الناموسيّة والتواضع الجسدي والتخلّص من حياة التقشّف البشري يتطلّب تمسّكاً بالمسيح الرأس ورسوخاً في حقيقة الموت معه (16:2-23).</w:t>
      </w:r>
    </w:p>
    <w:p w:rsidR="00000000" w:rsidRDefault="00BC7D43">
      <w:pPr>
        <w:pStyle w:val="1"/>
        <w:rPr>
          <w:rtl/>
        </w:rPr>
      </w:pPr>
      <w:r>
        <w:rPr>
          <w:b/>
          <w:bCs/>
          <w:rtl/>
        </w:rPr>
        <w:lastRenderedPageBreak/>
        <w:t xml:space="preserve">2- سموّ المسيح معلن في سلوك </w:t>
      </w:r>
      <w:r>
        <w:rPr>
          <w:b/>
          <w:bCs/>
          <w:rtl/>
        </w:rPr>
        <w:t>الكنيسة بحسب حقيقة الفداء (1:3-18:4)</w:t>
      </w:r>
      <w:r>
        <w:rPr>
          <w:rtl/>
        </w:rPr>
        <w:t>. في الجزء الثاني من هذه الرسالة يعالج الرسول بولس مسألة السلوك اليومي للمؤمنين كما يليق بسمو ابن اللّه وفدائه. ويبدأ أوّلاً بتذكير الكولوسّيّين بمركزهم العظيم في المسيح وانعكاسات تلك الحقيقة على اهتماماتهم الحياتيّة (1:3-4). من ثمّ يشير إلى ضرورة التخلّص من أعمال الجسد التي ترتبط بالإنسان العتيق وإظهار أعمال الإنسان الجديد المخلوق بحسب اللّه. وهكذا يحثّ بولس المؤمنين على إظهار سموّ المسيح في عمل الفداء في سلوكهم الشخصي (5:3-17). ولا يغفل الرسول عن التذكير بوجوب انعكاس مر</w:t>
      </w:r>
      <w:r>
        <w:rPr>
          <w:rtl/>
        </w:rPr>
        <w:t>كز المسيح العظيم هذا على واقع سلوك المؤمنين الاجتماعي. فالعلاقات العائليّة يجب أن تتّسم بالتناغم وترتيب الأدوار كما قسم الربّ لكلّ واحد. ففي حين على النساء واجب الخضوع لأزواجهنّ، على الرجال واجب المحبّة الكاملة لنسائهم. وإذ يجب أن يُطيع الأولاد والديهم فذاك لا يُعطي فرصة للأهل لإغاظة الأولاد وتفشيلهم. ويتناول بولس في هذا السياق أيضاً موضوع خضوع العبيد لسادتهم كمن يخدم الربّ ومعاملة السادة للعبيد بشكل يتناسب مع مخافة الربّ (18:3-1:4).</w:t>
      </w:r>
    </w:p>
    <w:p w:rsidR="00BC7D43" w:rsidRDefault="00BC7D43">
      <w:pPr>
        <w:pStyle w:val="1"/>
        <w:rPr>
          <w:rtl/>
        </w:rPr>
      </w:pPr>
      <w:r>
        <w:rPr>
          <w:rtl/>
        </w:rPr>
        <w:t xml:space="preserve">أخيراً يشير بولس إلى ضرورة انعكاس حقيقة الفداء على شهادة المؤمن في العالم </w:t>
      </w:r>
      <w:r>
        <w:rPr>
          <w:rtl/>
        </w:rPr>
        <w:t>(2:4-6). وهذا يتمّ  عن طريق الصلاة المستمرّة والسلوك في الحكمة والكلام المملّح. وينهي الرسول كلامه إلى الكولوسّيّين موصياً إيّاهم بتكريم الخداّم الأمناء الذين يحملون الرسالة إليهم ذاكراً سلام رفقائه لهم سواء كانوا من الختان أم من الأمم مذكّراً إيّاهم بوثقه التي تعكس تكريسه الكامل لسموّ المسيح وتعاليه كما قد أعلن في عمل الفداء العظيم (7:4-18).</w:t>
      </w:r>
    </w:p>
    <w:sectPr w:rsidR="00BC7D43">
      <w:headerReference w:type="even" r:id="rId6"/>
      <w:headerReference w:type="default" r:id="rId7"/>
      <w:endnotePr>
        <w:numFmt w:val="lowerLetter"/>
      </w:endnotePr>
      <w:pgSz w:w="12242" w:h="15842"/>
      <w:pgMar w:top="1701" w:right="1418" w:bottom="1701" w:left="1418" w:header="851" w:footer="851" w:gutter="0"/>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D43" w:rsidRDefault="00BC7D43" w:rsidP="00362C44">
      <w:r>
        <w:separator/>
      </w:r>
    </w:p>
  </w:endnote>
  <w:endnote w:type="continuationSeparator" w:id="0">
    <w:p w:rsidR="00BC7D43" w:rsidRDefault="00BC7D43" w:rsidP="00362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Times New Roman"/>
    <w:charset w:val="FF"/>
    <w:family w:val="auto"/>
    <w:pitch w:val="variable"/>
    <w:sig w:usb0="00000003" w:usb1="00000000" w:usb2="00000000" w:usb3="00000000" w:csb0="00000000" w:csb1="00000000"/>
  </w:font>
  <w:font w:name="AF_Najed">
    <w:altName w:val="Times New Roman"/>
    <w:charset w:val="FF"/>
    <w:family w:val="auto"/>
    <w:pitch w:val="variable"/>
    <w:sig w:usb0="00000003" w:usb1="00000000" w:usb2="00000000" w:usb3="00000000" w:csb0="00000000" w:csb1="00000000"/>
  </w:font>
  <w:font w:name="HASOOB">
    <w:altName w:val="Times New Roman"/>
    <w:charset w:val="FF"/>
    <w:family w:val="auto"/>
    <w:pitch w:val="variable"/>
    <w:sig w:usb0="00000003" w:usb1="00000000" w:usb2="00000000" w:usb3="00000000" w:csb0="00000000" w:csb1="00000000"/>
  </w:font>
  <w:font w:name="Sahifa">
    <w:altName w:val="Times New Roman"/>
    <w:charset w:val="FF"/>
    <w:family w:val="auto"/>
    <w:pitch w:val="variable"/>
    <w:sig w:usb0="00000003"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AlBilad">
    <w:altName w:val="Times New Roman"/>
    <w:charset w:val="FF"/>
    <w:family w:val="auto"/>
    <w:pitch w:val="variable"/>
    <w:sig w:usb0="00000003"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D43" w:rsidRDefault="00BC7D43" w:rsidP="00362C44">
      <w:r>
        <w:separator/>
      </w:r>
    </w:p>
  </w:footnote>
  <w:footnote w:type="continuationSeparator" w:id="0">
    <w:p w:rsidR="00BC7D43" w:rsidRDefault="00BC7D43" w:rsidP="00362C44">
      <w:r>
        <w:continuationSeparator/>
      </w:r>
    </w:p>
  </w:footnote>
  <w:footnote w:id="1">
    <w:p w:rsidR="00000000" w:rsidRDefault="00BC7D43">
      <w:pPr>
        <w:pStyle w:val="FootnoteText"/>
        <w:rPr>
          <w:rtl/>
        </w:rPr>
      </w:pPr>
      <w:r>
        <w:rPr>
          <w:rStyle w:val="FootnoteReference"/>
          <w:rtl/>
        </w:rPr>
        <w:footnoteRef/>
      </w:r>
      <w:r>
        <w:rPr>
          <w:rtl/>
        </w:rPr>
        <w:t xml:space="preserve"> راجع فيلمون 19؛ 2 كورنثوس 1:10؛ غلاطية 2:5؛ 1 تسالونيكي 18:2؛ 2 تسالونيكي 17:3؛ أفسس 1:3.</w:t>
      </w:r>
    </w:p>
  </w:footnote>
  <w:footnote w:id="2">
    <w:p w:rsidR="00000000" w:rsidRDefault="00BC7D43">
      <w:pPr>
        <w:pStyle w:val="FootnoteText"/>
        <w:rPr>
          <w:rtl/>
        </w:rPr>
      </w:pPr>
      <w:r>
        <w:rPr>
          <w:rStyle w:val="FootnoteReference"/>
          <w:rtl/>
        </w:rPr>
        <w:footnoteRef/>
      </w:r>
      <w:r>
        <w:rPr>
          <w:rtl/>
        </w:rPr>
        <w:t xml:space="preserve"> راجع </w:t>
      </w:r>
      <w:r>
        <w:t xml:space="preserve">Stanley D. Toussaint, </w:t>
      </w:r>
      <w:r>
        <w:rPr>
          <w:i/>
          <w:iCs/>
        </w:rPr>
        <w:t>Colossians</w:t>
      </w:r>
      <w:r>
        <w:t>, Class Notes # 308, DTS 1989</w:t>
      </w:r>
      <w:r>
        <w:rPr>
          <w:rtl/>
        </w:rPr>
        <w:t>.</w:t>
      </w:r>
    </w:p>
  </w:footnote>
  <w:footnote w:id="3">
    <w:p w:rsidR="00000000" w:rsidRDefault="00BC7D43">
      <w:pPr>
        <w:pStyle w:val="FootnoteText"/>
        <w:rPr>
          <w:rtl/>
        </w:rPr>
      </w:pPr>
      <w:r>
        <w:rPr>
          <w:rStyle w:val="FootnoteReference"/>
          <w:rtl/>
        </w:rPr>
        <w:footnoteRef/>
      </w:r>
      <w:r>
        <w:rPr>
          <w:rtl/>
        </w:rPr>
        <w:t xml:space="preserve"> هذا</w:t>
      </w:r>
      <w:r>
        <w:rPr>
          <w:rtl/>
        </w:rPr>
        <w:t xml:space="preserve"> الجدول يعكس معلومات مأخوذة من مصدرين هما: </w:t>
      </w:r>
      <w:r>
        <w:t>B. Wilkinson and K. Boa,</w:t>
      </w:r>
      <w:r>
        <w:rPr>
          <w:i/>
          <w:iCs/>
        </w:rPr>
        <w:t xml:space="preserve"> Talk Thru the Bible</w:t>
      </w:r>
      <w:r>
        <w:t xml:space="preserve">, 413; and Stanley D. Toussaint, </w:t>
      </w:r>
      <w:r>
        <w:rPr>
          <w:i/>
          <w:iCs/>
        </w:rPr>
        <w:t>Colossians</w:t>
      </w:r>
      <w:r>
        <w:t>, DTS Class Notes # 308, 2</w:t>
      </w:r>
      <w:r>
        <w:rPr>
          <w:rtl/>
        </w:rPr>
        <w:t>.</w:t>
      </w:r>
    </w:p>
  </w:footnote>
  <w:footnote w:id="4">
    <w:p w:rsidR="00000000" w:rsidRDefault="00BC7D43">
      <w:pPr>
        <w:pStyle w:val="FootnoteText"/>
        <w:rPr>
          <w:rtl/>
        </w:rPr>
      </w:pPr>
      <w:r>
        <w:rPr>
          <w:rStyle w:val="FootnoteReference"/>
          <w:rtl/>
        </w:rPr>
        <w:footnoteRef/>
      </w:r>
      <w:r>
        <w:rPr>
          <w:rtl/>
        </w:rPr>
        <w:t xml:space="preserve"> تعلّمنا صلاة بولس هذه للكولوسّيّين بعض الدروس العمليّة للحياة المسيحيّة كالتالية: 1- تتّسم الحياة المسيحيّة المتّزنة بوجود الإيمان والمحبّة والرجاء فيها (3-5). 2- يُظهر الإنجيل نفسه بشكل طبيعي في نموّ المؤمن روحيّاً (6). 3- عمل الروح القدس هو تمجيد المسيح (8). 4- لا بدّ لمعرفة  مشيئة اللّه أن تُنتج ثماراً عمليّة في (9-11). 5- يتطلّب الصبر مقداراً كبي</w:t>
      </w:r>
      <w:r>
        <w:rPr>
          <w:rtl/>
        </w:rPr>
        <w:t xml:space="preserve">راً من القدرة التي يمنحها اللّه (11). 6- القوّة المتوفّرة في الإنجيل عظيمة (11).  </w:t>
      </w:r>
    </w:p>
  </w:footnote>
  <w:footnote w:id="5">
    <w:p w:rsidR="00000000" w:rsidRDefault="00BC7D43">
      <w:pPr>
        <w:pStyle w:val="FootnoteText"/>
        <w:rPr>
          <w:rtl/>
        </w:rPr>
      </w:pPr>
      <w:r>
        <w:rPr>
          <w:rStyle w:val="FootnoteReference"/>
          <w:rtl/>
        </w:rPr>
        <w:footnoteRef/>
      </w:r>
      <w:r>
        <w:rPr>
          <w:rtl/>
        </w:rPr>
        <w:t xml:space="preserve"> تشير كلمة "بكر" في هذه الآية إلى الامتياز الذي يتمتّع به المسيح كالوارث لكلّ مجد اللّه في الخليقة، وليس مطلقاً إلى أنّه أوّل مخلوقات اللّه التي خلقها. فإنّنا نعلم من أماكن أخرى في الكتاب أنّ الابن يسوع المسيح أزلي الوجود (راجع، يو 1:1-2).</w:t>
      </w:r>
    </w:p>
  </w:footnote>
  <w:footnote w:id="6">
    <w:p w:rsidR="00000000" w:rsidRDefault="00BC7D43">
      <w:pPr>
        <w:pStyle w:val="FootnoteText"/>
        <w:rPr>
          <w:rtl/>
        </w:rPr>
      </w:pPr>
      <w:r>
        <w:rPr>
          <w:rStyle w:val="FootnoteReference"/>
          <w:rtl/>
        </w:rPr>
        <w:footnoteRef/>
      </w:r>
      <w:r>
        <w:rPr>
          <w:rtl/>
        </w:rPr>
        <w:t xml:space="preserve"> على الكنيسة أن تتطلّع إلى المسيح من أجل القيادة والعبادة والرعاية.</w:t>
      </w:r>
    </w:p>
  </w:footnote>
  <w:footnote w:id="7">
    <w:p w:rsidR="00000000" w:rsidRDefault="00BC7D43">
      <w:pPr>
        <w:pStyle w:val="FootnoteText"/>
        <w:rPr>
          <w:rtl/>
        </w:rPr>
      </w:pPr>
      <w:r>
        <w:rPr>
          <w:rStyle w:val="FootnoteReference"/>
          <w:rtl/>
        </w:rPr>
        <w:footnoteRef/>
      </w:r>
      <w:r>
        <w:rPr>
          <w:rtl/>
        </w:rPr>
        <w:t xml:space="preserve"> لاحظ كيف تهدم عبارة "في جسم بشريّته" ادّعاء البدعة الدوسيّة التي تقول بأنّ المسيح تراءى كمن كان في الجسد ولم يكن بالح</w:t>
      </w:r>
      <w:r>
        <w:rPr>
          <w:rtl/>
        </w:rPr>
        <w:t>قيقة كذلك.</w:t>
      </w:r>
    </w:p>
  </w:footnote>
  <w:footnote w:id="8">
    <w:p w:rsidR="00000000" w:rsidRDefault="00BC7D43">
      <w:pPr>
        <w:pStyle w:val="FootnoteText"/>
        <w:rPr>
          <w:rtl/>
        </w:rPr>
      </w:pPr>
      <w:r>
        <w:rPr>
          <w:rStyle w:val="FootnoteReference"/>
          <w:rtl/>
        </w:rPr>
        <w:footnoteRef/>
      </w:r>
      <w:r>
        <w:rPr>
          <w:rtl/>
        </w:rPr>
        <w:t xml:space="preserve"> لا يقصد بولس في عبارة "نقائص شدائد المسيح" تكميل آلام الصليب للأسباب التالية: 1- لم تُستخدم كلمة شدائد ولا مرّة للإشارة إلى آلام المسيح. 2- إنّ آلام المسيح البديليّة كاملة بشهادة العهد الجديد (راجع عب 27:9-28؛ 1 بط 18:3). 3- يعلّمنا العهد الجديد في أماكن أخرى منه عن مبدأ تكميل شدائد المسيح (راجع أع 4:9، 5، 16؛ 2 كور 5:1-7؛ 10:4؛ في 10:3). </w:t>
      </w:r>
    </w:p>
  </w:footnote>
  <w:footnote w:id="9">
    <w:p w:rsidR="00000000" w:rsidRDefault="00BC7D43">
      <w:pPr>
        <w:pStyle w:val="FootnoteText"/>
        <w:rPr>
          <w:rtl/>
        </w:rPr>
      </w:pPr>
      <w:r>
        <w:rPr>
          <w:rStyle w:val="FootnoteReference"/>
          <w:rtl/>
        </w:rPr>
        <w:footnoteRef/>
      </w:r>
      <w:r>
        <w:rPr>
          <w:rtl/>
        </w:rPr>
        <w:t xml:space="preserve"> يجب فهم كلمة "فلسفة" هنا كما هي بالحقيقة. فهي لا تعني التعاليم الغريبة بل الفلسفة البحتة. وهذه هي المرّة الوحيدة التي تُستخدم فيها تلك الكلمة في العهد الجد</w:t>
      </w:r>
      <w:r>
        <w:rPr>
          <w:rtl/>
        </w:rPr>
        <w:t xml:space="preserve">يد، وقد فهمها آباء الكنيسة بهذا المعنى. </w:t>
      </w:r>
    </w:p>
  </w:footnote>
  <w:footnote w:id="10">
    <w:p w:rsidR="00000000" w:rsidRDefault="00BC7D43">
      <w:pPr>
        <w:pStyle w:val="FootnoteText"/>
        <w:rPr>
          <w:rtl/>
        </w:rPr>
      </w:pPr>
      <w:r>
        <w:rPr>
          <w:rStyle w:val="FootnoteReference"/>
          <w:rtl/>
        </w:rPr>
        <w:footnoteRef/>
      </w:r>
      <w:r>
        <w:rPr>
          <w:rtl/>
        </w:rPr>
        <w:t xml:space="preserve"> توجد أربع حقائق تهدم مبدأ التقشّف في الحياة المسحيّة: 1- لقد أعطانا اللّه كلّ شيء بغنىً للتمتّع (كو 22:2؛ 1 تيم 3:4-4؛ 17:6؛ 1 كور 13:6أ). 2- لا علاقة للتقشّف أبداً بالتقوى (مر 15:7). 3- التقشّف لا يخدم إلاّ الكبرياء (23:2). 4- التقشّف لا يكبح جماح الرغبات الجسديّة (23ب).</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7D43">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00000" w:rsidRDefault="00BC7D43">
    <w:pPr>
      <w:pStyle w:val="Header"/>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7D43">
    <w:pPr>
      <w:pStyle w:val="Header"/>
      <w:framePr w:wrap="around" w:vAnchor="text" w:hAnchor="margin" w:xAlign="center" w:y="1"/>
      <w:rPr>
        <w:rStyle w:val="PageNumber"/>
        <w:rtl/>
      </w:rPr>
    </w:pPr>
    <w:r>
      <w:rPr>
        <w:rStyle w:val="PageNumber"/>
        <w:b/>
        <w:bCs/>
        <w:szCs w:val="28"/>
        <w:rtl/>
      </w:rPr>
      <w:fldChar w:fldCharType="begin"/>
    </w:r>
    <w:r>
      <w:rPr>
        <w:rStyle w:val="PageNumber"/>
        <w:b/>
        <w:bCs/>
        <w:szCs w:val="28"/>
      </w:rPr>
      <w:instrText xml:space="preserve">PAGE  </w:instrText>
    </w:r>
    <w:r>
      <w:rPr>
        <w:rStyle w:val="PageNumber"/>
        <w:b/>
        <w:bCs/>
        <w:szCs w:val="28"/>
        <w:rtl/>
      </w:rPr>
      <w:fldChar w:fldCharType="separate"/>
    </w:r>
    <w:r w:rsidR="00957E4D">
      <w:rPr>
        <w:rStyle w:val="PageNumber"/>
        <w:b/>
        <w:bCs/>
        <w:noProof/>
        <w:szCs w:val="28"/>
        <w:rtl/>
      </w:rPr>
      <w:t>8</w:t>
    </w:r>
    <w:r>
      <w:rPr>
        <w:rStyle w:val="PageNumber"/>
        <w:b/>
        <w:bCs/>
        <w:szCs w:val="28"/>
        <w:rtl/>
      </w:rPr>
      <w:fldChar w:fldCharType="end"/>
    </w:r>
  </w:p>
  <w:p w:rsidR="00000000" w:rsidRDefault="00BC7D43">
    <w:pPr>
      <w:pStyle w:val="Header"/>
      <w:tabs>
        <w:tab w:val="clear" w:pos="8306"/>
        <w:tab w:val="right" w:pos="9406"/>
      </w:tabs>
      <w:rPr>
        <w:b/>
        <w:bCs/>
        <w:rtl/>
      </w:rPr>
    </w:pPr>
    <w:r>
      <w:rPr>
        <w:b/>
        <w:bCs/>
        <w:rtl/>
      </w:rPr>
      <w:t>العهد الجديد</w:t>
    </w:r>
    <w:r>
      <w:rPr>
        <w:b/>
        <w:bCs/>
        <w:rtl/>
      </w:rPr>
      <w:tab/>
    </w:r>
    <w:r>
      <w:rPr>
        <w:b/>
        <w:bCs/>
        <w:rtl/>
      </w:rPr>
      <w:tab/>
      <w:t>رسالة كولوسّي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compat>
  <w:rsids>
    <w:rsidRoot w:val="00957E4D"/>
    <w:rsid w:val="00957E4D"/>
    <w:rsid w:val="00BC7D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E1">
    <w:name w:val="OUTE1"/>
    <w:basedOn w:val="Normal"/>
    <w:pPr>
      <w:bidi w:val="0"/>
      <w:ind w:left="360" w:hanging="360"/>
      <w:jc w:val="both"/>
    </w:pPr>
    <w:rPr>
      <w:b/>
      <w:bCs/>
    </w:rPr>
  </w:style>
  <w:style w:type="paragraph" w:customStyle="1" w:styleId="OUTE2">
    <w:name w:val="OUTE2"/>
    <w:basedOn w:val="Normal"/>
    <w:pPr>
      <w:bidi w:val="0"/>
      <w:ind w:left="720" w:hanging="360"/>
      <w:jc w:val="both"/>
    </w:pPr>
  </w:style>
  <w:style w:type="paragraph" w:customStyle="1" w:styleId="OUTE4">
    <w:name w:val="OUTE4"/>
    <w:basedOn w:val="OUTE3"/>
    <w:pPr>
      <w:bidi/>
      <w:ind w:right="1440"/>
    </w:pPr>
  </w:style>
  <w:style w:type="paragraph" w:customStyle="1" w:styleId="OUTE3">
    <w:name w:val="OUTE3"/>
    <w:basedOn w:val="Normal"/>
    <w:pPr>
      <w:bidi w:val="0"/>
      <w:ind w:left="1080" w:hanging="360"/>
      <w:jc w:val="both"/>
    </w:pPr>
  </w:style>
  <w:style w:type="paragraph" w:customStyle="1" w:styleId="OUTE5">
    <w:name w:val="OUTE5"/>
    <w:basedOn w:val="OUTE4"/>
    <w:pPr>
      <w:ind w:right="1800"/>
    </w:pPr>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paragraph" w:styleId="Bibliography">
    <w:name w:val="Bibliography"/>
    <w:basedOn w:val="Normal"/>
    <w:pPr>
      <w:bidi w:val="0"/>
      <w:spacing w:before="240"/>
      <w:ind w:left="720" w:hanging="720"/>
      <w:jc w:val="both"/>
    </w:pPr>
    <w:rPr>
      <w:rFonts w:ascii="Tms Rmn" w:hAnsi="Tms Rmn"/>
      <w:noProof/>
      <w:sz w:val="24"/>
      <w:szCs w:val="28"/>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ind w:firstLine="566"/>
    </w:pPr>
    <w:rPr>
      <w:szCs w:val="28"/>
    </w:rPr>
  </w:style>
  <w:style w:type="paragraph" w:styleId="Header">
    <w:name w:val="header"/>
    <w:basedOn w:val="Normal"/>
    <w:semiHidden/>
    <w:pPr>
      <w:tabs>
        <w:tab w:val="center" w:pos="4153"/>
        <w:tab w:val="right" w:pos="8306"/>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rPr>
      <w:b w:val="0"/>
      <w:bCs w:val="0"/>
    </w:rPr>
  </w:style>
  <w:style w:type="paragraph" w:customStyle="1" w:styleId="OUT4">
    <w:name w:val="OUT 4"/>
    <w:basedOn w:val="OUT3"/>
    <w:pPr>
      <w:ind w:left="1700" w:hanging="426"/>
    </w:pPr>
    <w:rPr>
      <w:i/>
      <w:iCs/>
    </w:rPr>
  </w:style>
  <w:style w:type="paragraph" w:customStyle="1" w:styleId="OUT5">
    <w:name w:val="OUT 5"/>
    <w:basedOn w:val="OUT4"/>
    <w:pPr>
      <w:ind w:left="2125" w:hanging="425"/>
    </w:pPr>
    <w:rPr>
      <w:rFonts w:cs="AlBilad"/>
    </w:rPr>
  </w:style>
  <w:style w:type="paragraph" w:customStyle="1" w:styleId="OUT6">
    <w:name w:val="OUT 6"/>
    <w:basedOn w:val="OUT5"/>
    <w:pPr>
      <w:ind w:left="2550"/>
    </w:pPr>
  </w:style>
  <w:style w:type="character" w:styleId="PageNumber">
    <w:name w:val="page number"/>
    <w:basedOn w:val="DefaultParagraphFont"/>
    <w:semiHidden/>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2229</Words>
  <Characters>12709</Characters>
  <Application>Microsoft Office Word</Application>
  <DocSecurity>0</DocSecurity>
  <Lines>105</Lines>
  <Paragraphs>29</Paragraphs>
  <ScaleCrop>false</ScaleCrop>
  <Company/>
  <LinksUpToDate>false</LinksUpToDate>
  <CharactersWithSpaces>14909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أعمال الرسل</dc:title>
  <dc:creator>Tony Maalouf</dc:creator>
  <cp:lastModifiedBy>user</cp:lastModifiedBy>
  <cp:revision>2</cp:revision>
  <cp:lastPrinted>1996-06-03T14:12:00Z</cp:lastPrinted>
  <dcterms:created xsi:type="dcterms:W3CDTF">2021-12-14T08:01:00Z</dcterms:created>
  <dcterms:modified xsi:type="dcterms:W3CDTF">2021-12-14T08:01:00Z</dcterms:modified>
</cp:coreProperties>
</file>