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XSpec="center" w:tblpY="765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CD0CB0" w14:paraId="3F654321" w14:textId="77777777" w:rsidTr="00FA5D6D">
        <w:tc>
          <w:tcPr>
            <w:tcW w:w="2765" w:type="dxa"/>
            <w:shd w:val="clear" w:color="auto" w:fill="215E99" w:themeFill="text2" w:themeFillTint="BF"/>
          </w:tcPr>
          <w:p w14:paraId="34675DC4" w14:textId="6CE84302" w:rsidR="00CD0CB0" w:rsidRPr="00FA5D6D" w:rsidRDefault="00CD0CB0" w:rsidP="00FA5D6D">
            <w:pPr>
              <w:spacing w:after="80"/>
              <w:jc w:val="center"/>
              <w:rPr>
                <w:b/>
                <w:bCs/>
                <w:color w:val="FFFFFF" w:themeColor="background1"/>
                <w:rtl/>
              </w:rPr>
            </w:pPr>
            <w:r w:rsidRPr="00FA5D6D">
              <w:rPr>
                <w:rFonts w:hint="cs"/>
                <w:b/>
                <w:bCs/>
                <w:color w:val="FFFFFF" w:themeColor="background1"/>
                <w:rtl/>
              </w:rPr>
              <w:t>عملية التفسير</w:t>
            </w:r>
          </w:p>
        </w:tc>
        <w:tc>
          <w:tcPr>
            <w:tcW w:w="2765" w:type="dxa"/>
            <w:shd w:val="clear" w:color="auto" w:fill="215E99" w:themeFill="text2" w:themeFillTint="BF"/>
          </w:tcPr>
          <w:p w14:paraId="7C84F813" w14:textId="0FAA85FD" w:rsidR="00CD0CB0" w:rsidRPr="00FA5D6D" w:rsidRDefault="00CD0CB0" w:rsidP="00FA5D6D">
            <w:pPr>
              <w:spacing w:after="80"/>
              <w:jc w:val="center"/>
              <w:rPr>
                <w:b/>
                <w:bCs/>
                <w:color w:val="FFFFFF" w:themeColor="background1"/>
                <w:rtl/>
              </w:rPr>
            </w:pPr>
            <w:r w:rsidRPr="00FA5D6D">
              <w:rPr>
                <w:rFonts w:hint="cs"/>
                <w:b/>
                <w:bCs/>
                <w:color w:val="FFFFFF" w:themeColor="background1"/>
                <w:rtl/>
              </w:rPr>
              <w:t>اللاهوت الكتابي</w:t>
            </w:r>
          </w:p>
        </w:tc>
        <w:tc>
          <w:tcPr>
            <w:tcW w:w="2766" w:type="dxa"/>
            <w:shd w:val="clear" w:color="auto" w:fill="215E99" w:themeFill="text2" w:themeFillTint="BF"/>
          </w:tcPr>
          <w:p w14:paraId="142DE2DF" w14:textId="10FCF0E7" w:rsidR="00CD0CB0" w:rsidRPr="00FA5D6D" w:rsidRDefault="00CD0CB0" w:rsidP="00FA5D6D">
            <w:pPr>
              <w:spacing w:after="80"/>
              <w:jc w:val="center"/>
              <w:rPr>
                <w:b/>
                <w:bCs/>
                <w:color w:val="FFFFFF" w:themeColor="background1"/>
                <w:rtl/>
              </w:rPr>
            </w:pPr>
            <w:r w:rsidRPr="00FA5D6D">
              <w:rPr>
                <w:rFonts w:hint="cs"/>
                <w:b/>
                <w:bCs/>
                <w:color w:val="FFFFFF" w:themeColor="background1"/>
                <w:rtl/>
              </w:rPr>
              <w:t>اللاهوت النظامي</w:t>
            </w:r>
          </w:p>
        </w:tc>
      </w:tr>
      <w:tr w:rsidR="00CD0CB0" w14:paraId="4A5842C9" w14:textId="77777777" w:rsidTr="00FA5D6D">
        <w:tc>
          <w:tcPr>
            <w:tcW w:w="2765" w:type="dxa"/>
          </w:tcPr>
          <w:p w14:paraId="3BDB875C" w14:textId="255F8775" w:rsidR="00CD0CB0" w:rsidRDefault="00CD0CB0" w:rsidP="00FA5D6D">
            <w:pPr>
              <w:spacing w:after="8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أولاً</w:t>
            </w:r>
          </w:p>
        </w:tc>
        <w:tc>
          <w:tcPr>
            <w:tcW w:w="2765" w:type="dxa"/>
          </w:tcPr>
          <w:p w14:paraId="6FE4A9FD" w14:textId="08CB8C9C" w:rsidR="00CD0CB0" w:rsidRDefault="00CD0CB0" w:rsidP="00FA5D6D">
            <w:pPr>
              <w:spacing w:after="8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ثانياً</w:t>
            </w:r>
          </w:p>
        </w:tc>
        <w:tc>
          <w:tcPr>
            <w:tcW w:w="2766" w:type="dxa"/>
          </w:tcPr>
          <w:p w14:paraId="325A3962" w14:textId="5ECAE639" w:rsidR="00CD0CB0" w:rsidRDefault="00CD0CB0" w:rsidP="00FA5D6D">
            <w:pPr>
              <w:spacing w:after="8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ثالثاً</w:t>
            </w:r>
          </w:p>
        </w:tc>
      </w:tr>
      <w:tr w:rsidR="00CD0CB0" w14:paraId="4F092E25" w14:textId="77777777" w:rsidTr="00FA5D6D">
        <w:tc>
          <w:tcPr>
            <w:tcW w:w="2765" w:type="dxa"/>
          </w:tcPr>
          <w:p w14:paraId="2ACD12B8" w14:textId="5CDC645A" w:rsidR="00CD0CB0" w:rsidRDefault="00CD0CB0" w:rsidP="00FA5D6D">
            <w:pPr>
              <w:spacing w:after="80"/>
              <w:jc w:val="center"/>
              <w:rPr>
                <w:rFonts w:hint="cs"/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نصٌّ واحدٌ</w:t>
            </w:r>
          </w:p>
        </w:tc>
        <w:tc>
          <w:tcPr>
            <w:tcW w:w="2765" w:type="dxa"/>
          </w:tcPr>
          <w:p w14:paraId="1853EC7F" w14:textId="1BE30744" w:rsidR="00CD0CB0" w:rsidRDefault="00CD0CB0" w:rsidP="00FA5D6D">
            <w:pPr>
              <w:spacing w:after="8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كاتبٌ واحدٌ</w:t>
            </w:r>
          </w:p>
        </w:tc>
        <w:tc>
          <w:tcPr>
            <w:tcW w:w="2766" w:type="dxa"/>
          </w:tcPr>
          <w:p w14:paraId="66A47AD5" w14:textId="52B2897C" w:rsidR="00CD0CB0" w:rsidRDefault="00CD0CB0" w:rsidP="00FA5D6D">
            <w:pPr>
              <w:spacing w:after="8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الكتاب المقدس</w:t>
            </w:r>
          </w:p>
        </w:tc>
      </w:tr>
      <w:tr w:rsidR="00CD0CB0" w14:paraId="7E593A53" w14:textId="77777777" w:rsidTr="00FA5D6D">
        <w:tc>
          <w:tcPr>
            <w:tcW w:w="2765" w:type="dxa"/>
          </w:tcPr>
          <w:p w14:paraId="2E3C2971" w14:textId="2CADA9B6" w:rsidR="00CD0CB0" w:rsidRDefault="00CD0CB0" w:rsidP="00FA5D6D">
            <w:pPr>
              <w:spacing w:after="8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الأساس</w:t>
            </w:r>
          </w:p>
        </w:tc>
        <w:tc>
          <w:tcPr>
            <w:tcW w:w="2765" w:type="dxa"/>
          </w:tcPr>
          <w:p w14:paraId="550EB262" w14:textId="6F9A72B3" w:rsidR="00CD0CB0" w:rsidRDefault="00CD0CB0" w:rsidP="00FA5D6D">
            <w:pPr>
              <w:spacing w:after="8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الجسر</w:t>
            </w:r>
          </w:p>
        </w:tc>
        <w:tc>
          <w:tcPr>
            <w:tcW w:w="2766" w:type="dxa"/>
          </w:tcPr>
          <w:p w14:paraId="2FDE4DBE" w14:textId="26514366" w:rsidR="00CD0CB0" w:rsidRDefault="00CD0CB0" w:rsidP="00FA5D6D">
            <w:pPr>
              <w:spacing w:after="8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كل الكتاب</w:t>
            </w:r>
          </w:p>
        </w:tc>
      </w:tr>
      <w:tr w:rsidR="00CD0CB0" w14:paraId="47DC4CC7" w14:textId="77777777" w:rsidTr="00FA5D6D">
        <w:tc>
          <w:tcPr>
            <w:tcW w:w="2765" w:type="dxa"/>
          </w:tcPr>
          <w:p w14:paraId="401F8D38" w14:textId="0E02AA2A" w:rsidR="00CD0CB0" w:rsidRDefault="00CD0CB0" w:rsidP="00FA5D6D">
            <w:pPr>
              <w:spacing w:after="80"/>
              <w:jc w:val="center"/>
              <w:rPr>
                <w:rFonts w:hint="cs"/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لا يحدها تصنيف</w:t>
            </w:r>
          </w:p>
        </w:tc>
        <w:tc>
          <w:tcPr>
            <w:tcW w:w="2765" w:type="dxa"/>
          </w:tcPr>
          <w:p w14:paraId="15797BFB" w14:textId="74FEE6D2" w:rsidR="00CD0CB0" w:rsidRDefault="00CD0CB0" w:rsidP="00FA5D6D">
            <w:pPr>
              <w:spacing w:after="8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يحدها تصنيفات الكتّاب</w:t>
            </w:r>
          </w:p>
        </w:tc>
        <w:tc>
          <w:tcPr>
            <w:tcW w:w="2766" w:type="dxa"/>
          </w:tcPr>
          <w:p w14:paraId="70960F77" w14:textId="1693625E" w:rsidR="00CD0CB0" w:rsidRDefault="00CD0CB0" w:rsidP="00FA5D6D">
            <w:pPr>
              <w:spacing w:after="8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وحدة في الإعلان</w:t>
            </w:r>
          </w:p>
        </w:tc>
      </w:tr>
      <w:tr w:rsidR="00CD0CB0" w14:paraId="1D6D35ED" w14:textId="77777777" w:rsidTr="00FA5D6D">
        <w:tc>
          <w:tcPr>
            <w:tcW w:w="2765" w:type="dxa"/>
          </w:tcPr>
          <w:p w14:paraId="697A5491" w14:textId="74B8B442" w:rsidR="00CD0CB0" w:rsidRDefault="00FA5D6D" w:rsidP="00FA5D6D">
            <w:pPr>
              <w:spacing w:after="80"/>
              <w:jc w:val="center"/>
              <w:rPr>
                <w:rFonts w:hint="cs"/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مجهرية (تفصيلية)</w:t>
            </w:r>
          </w:p>
        </w:tc>
        <w:tc>
          <w:tcPr>
            <w:tcW w:w="2765" w:type="dxa"/>
          </w:tcPr>
          <w:p w14:paraId="150B3C8F" w14:textId="132F234F" w:rsidR="00CD0CB0" w:rsidRDefault="007F68E3" w:rsidP="00FA5D6D">
            <w:pPr>
              <w:spacing w:after="8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متوسطة</w:t>
            </w:r>
          </w:p>
        </w:tc>
        <w:tc>
          <w:tcPr>
            <w:tcW w:w="2766" w:type="dxa"/>
          </w:tcPr>
          <w:p w14:paraId="6B1EF36B" w14:textId="2F318079" w:rsidR="00CD0CB0" w:rsidRDefault="007F68E3" w:rsidP="00FA5D6D">
            <w:pPr>
              <w:spacing w:after="80"/>
              <w:jc w:val="center"/>
              <w:rPr>
                <w:rFonts w:hint="cs"/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واسعة</w:t>
            </w:r>
          </w:p>
        </w:tc>
      </w:tr>
      <w:tr w:rsidR="00CD0CB0" w14:paraId="72FD6ED6" w14:textId="77777777" w:rsidTr="00FA5D6D">
        <w:tc>
          <w:tcPr>
            <w:tcW w:w="2765" w:type="dxa"/>
          </w:tcPr>
          <w:p w14:paraId="01BA87DD" w14:textId="1746BC17" w:rsidR="00CD0CB0" w:rsidRDefault="007F68E3" w:rsidP="00FA5D6D">
            <w:pPr>
              <w:spacing w:after="80"/>
              <w:jc w:val="center"/>
              <w:rPr>
                <w:rFonts w:hint="cs"/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قطع منفردة</w:t>
            </w:r>
          </w:p>
        </w:tc>
        <w:tc>
          <w:tcPr>
            <w:tcW w:w="2765" w:type="dxa"/>
          </w:tcPr>
          <w:p w14:paraId="6BFAD6B0" w14:textId="126A3EEE" w:rsidR="00CD0CB0" w:rsidRDefault="007F68E3" w:rsidP="00FA5D6D">
            <w:pPr>
              <w:spacing w:after="8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قطع المؤلفين</w:t>
            </w:r>
          </w:p>
        </w:tc>
        <w:tc>
          <w:tcPr>
            <w:tcW w:w="2766" w:type="dxa"/>
          </w:tcPr>
          <w:p w14:paraId="110B20FE" w14:textId="191A7102" w:rsidR="00CD0CB0" w:rsidRDefault="007F68E3" w:rsidP="00FA5D6D">
            <w:pPr>
              <w:spacing w:after="8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جميع القطع</w:t>
            </w:r>
          </w:p>
        </w:tc>
      </w:tr>
    </w:tbl>
    <w:p w14:paraId="1F9B83F5" w14:textId="7C32346B" w:rsidR="00E1193A" w:rsidRDefault="007F68E3" w:rsidP="007F68E3">
      <w:pPr>
        <w:spacing w:after="240"/>
        <w:ind w:firstLine="432"/>
        <w:rPr>
          <w:rtl/>
          <w:lang w:bidi="ar-SY"/>
        </w:rPr>
      </w:pPr>
      <w:r>
        <w:rPr>
          <w:rFonts w:hint="cs"/>
          <w:rtl/>
        </w:rPr>
        <w:t>يقدّم لنا هذا الجدول مقارنة بين المصطلحات التالية: عملية التفسير (</w:t>
      </w:r>
      <w:r>
        <w:rPr>
          <w:lang w:bidi="he-IL"/>
        </w:rPr>
        <w:t>Exegesis</w:t>
      </w:r>
      <w:r>
        <w:rPr>
          <w:rFonts w:hint="cs"/>
          <w:rtl/>
          <w:lang w:bidi="ar-SY"/>
        </w:rPr>
        <w:t>)، اللاهوت الكتابي (</w:t>
      </w:r>
      <w:r>
        <w:rPr>
          <w:lang w:bidi="he-IL"/>
        </w:rPr>
        <w:t>Biblical Theology</w:t>
      </w:r>
      <w:r>
        <w:rPr>
          <w:rFonts w:hint="cs"/>
          <w:rtl/>
          <w:lang w:bidi="ar-SY"/>
        </w:rPr>
        <w:t>)، واللاهوت النظامي (</w:t>
      </w:r>
      <w:r>
        <w:rPr>
          <w:lang w:bidi="he-IL"/>
        </w:rPr>
        <w:t>Systematic Theology</w:t>
      </w:r>
      <w:r>
        <w:rPr>
          <w:rFonts w:hint="cs"/>
          <w:rtl/>
          <w:lang w:bidi="ar-SY"/>
        </w:rPr>
        <w:t xml:space="preserve">). </w:t>
      </w:r>
    </w:p>
    <w:p w14:paraId="36C2186E" w14:textId="77777777" w:rsidR="007F68E3" w:rsidRDefault="007F68E3" w:rsidP="007F68E3">
      <w:pPr>
        <w:spacing w:after="240"/>
        <w:ind w:firstLine="432"/>
        <w:rPr>
          <w:rtl/>
          <w:lang w:bidi="ar-SY"/>
        </w:rPr>
      </w:pPr>
    </w:p>
    <w:p w14:paraId="3BD134F8" w14:textId="77777777" w:rsidR="007F68E3" w:rsidRPr="007F68E3" w:rsidRDefault="007F68E3" w:rsidP="007F68E3">
      <w:pPr>
        <w:spacing w:after="240"/>
        <w:ind w:firstLine="432"/>
        <w:rPr>
          <w:rFonts w:hint="cs"/>
          <w:rtl/>
          <w:lang w:bidi="ar-SY"/>
        </w:rPr>
      </w:pPr>
    </w:p>
    <w:sectPr w:rsidR="007F68E3" w:rsidRPr="007F68E3" w:rsidSect="00E1193A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FE7A7" w14:textId="77777777" w:rsidR="00474533" w:rsidRDefault="00474533" w:rsidP="007F68E3">
      <w:pPr>
        <w:spacing w:after="0" w:line="240" w:lineRule="auto"/>
      </w:pPr>
      <w:r>
        <w:separator/>
      </w:r>
    </w:p>
  </w:endnote>
  <w:endnote w:type="continuationSeparator" w:id="0">
    <w:p w14:paraId="0ACA98D6" w14:textId="77777777" w:rsidR="00474533" w:rsidRDefault="00474533" w:rsidP="007F6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A1516" w14:textId="77777777" w:rsidR="00474533" w:rsidRDefault="00474533" w:rsidP="007F68E3">
      <w:pPr>
        <w:spacing w:after="0" w:line="240" w:lineRule="auto"/>
      </w:pPr>
      <w:r>
        <w:separator/>
      </w:r>
    </w:p>
  </w:footnote>
  <w:footnote w:type="continuationSeparator" w:id="0">
    <w:p w14:paraId="21B33300" w14:textId="77777777" w:rsidR="00474533" w:rsidRDefault="00474533" w:rsidP="007F68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27F"/>
    <w:rsid w:val="00084A86"/>
    <w:rsid w:val="0021327F"/>
    <w:rsid w:val="00474533"/>
    <w:rsid w:val="00490D2D"/>
    <w:rsid w:val="00592373"/>
    <w:rsid w:val="005E14B3"/>
    <w:rsid w:val="007F68E3"/>
    <w:rsid w:val="00A70B78"/>
    <w:rsid w:val="00AA4E0B"/>
    <w:rsid w:val="00CD0CB0"/>
    <w:rsid w:val="00E1193A"/>
    <w:rsid w:val="00E62644"/>
    <w:rsid w:val="00F9446B"/>
    <w:rsid w:val="00FA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6FF39"/>
  <w15:chartTrackingRefBased/>
  <w15:docId w15:val="{3E8929A7-948F-43E1-86A6-E2F1CDB72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62644"/>
    <w:pPr>
      <w:keepNext/>
      <w:keepLines/>
      <w:spacing w:before="360" w:after="80" w:line="480" w:lineRule="auto"/>
      <w:jc w:val="center"/>
      <w:outlineLvl w:val="0"/>
    </w:pPr>
    <w:rPr>
      <w:rFonts w:asciiTheme="majorHAnsi" w:eastAsiaTheme="majorEastAsia" w:hAnsiTheme="majorHAnsi" w:cstheme="majorBidi"/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446B"/>
    <w:pPr>
      <w:keepNext/>
      <w:keepLines/>
      <w:bidi w:val="0"/>
      <w:spacing w:before="40" w:after="0" w:line="480" w:lineRule="auto"/>
      <w:jc w:val="center"/>
      <w:outlineLvl w:val="1"/>
    </w:pPr>
    <w:rPr>
      <w:rFonts w:asciiTheme="majorHAnsi" w:eastAsiaTheme="majorEastAsia" w:hAnsiTheme="majorHAnsi" w:cstheme="majorBidi"/>
      <w:bCs/>
      <w:sz w:val="3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62644"/>
    <w:pPr>
      <w:keepNext/>
      <w:keepLines/>
      <w:spacing w:before="160" w:after="80" w:line="480" w:lineRule="auto"/>
      <w:outlineLvl w:val="2"/>
    </w:pPr>
    <w:rPr>
      <w:rFonts w:eastAsiaTheme="majorEastAsia" w:cstheme="majorBidi"/>
      <w:b/>
      <w:bCs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32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32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32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32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32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32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644"/>
    <w:rPr>
      <w:rFonts w:asciiTheme="majorHAnsi" w:eastAsiaTheme="majorEastAsia" w:hAnsiTheme="majorHAnsi" w:cstheme="majorBidi"/>
      <w:b/>
      <w:bCs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9446B"/>
    <w:rPr>
      <w:rFonts w:asciiTheme="majorHAnsi" w:eastAsiaTheme="majorEastAsia" w:hAnsiTheme="majorHAnsi" w:cstheme="majorBidi"/>
      <w:bCs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62644"/>
    <w:rPr>
      <w:rFonts w:eastAsiaTheme="majorEastAsia" w:cstheme="majorBidi"/>
      <w:b/>
      <w:bCs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32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32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32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32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32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32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32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32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32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32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32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32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32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32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32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32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327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D0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68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8E3"/>
  </w:style>
  <w:style w:type="paragraph" w:styleId="Footer">
    <w:name w:val="footer"/>
    <w:basedOn w:val="Normal"/>
    <w:link w:val="FooterChar"/>
    <w:uiPriority w:val="99"/>
    <w:unhideWhenUsed/>
    <w:rsid w:val="007F68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8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essber yaakoub</dc:creator>
  <cp:keywords/>
  <dc:description/>
  <cp:lastModifiedBy>essber yaakoub</cp:lastModifiedBy>
  <cp:revision>2</cp:revision>
  <dcterms:created xsi:type="dcterms:W3CDTF">2026-01-30T19:28:00Z</dcterms:created>
  <dcterms:modified xsi:type="dcterms:W3CDTF">2026-01-30T19:55:00Z</dcterms:modified>
</cp:coreProperties>
</file>