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8D2D" w14:textId="77777777" w:rsidR="004C38AF" w:rsidRPr="00002414" w:rsidRDefault="004C38AF" w:rsidP="00B00034">
      <w:pPr>
        <w:tabs>
          <w:tab w:val="left" w:pos="6480"/>
        </w:tabs>
        <w:ind w:left="20" w:right="-80"/>
        <w:jc w:val="center"/>
        <w:rPr>
          <w:rFonts w:ascii="Arial" w:hAnsi="Arial" w:cs="Arial"/>
          <w:b/>
          <w:sz w:val="36"/>
        </w:rPr>
      </w:pPr>
      <w:r w:rsidRPr="00002414">
        <w:rPr>
          <w:rFonts w:ascii="Arial" w:hAnsi="Arial" w:cs="Arial"/>
          <w:b/>
          <w:sz w:val="36"/>
        </w:rPr>
        <w:t>Humour &amp; Storytelling</w:t>
      </w:r>
    </w:p>
    <w:p w14:paraId="0622C7AD" w14:textId="77777777" w:rsidR="004C38AF" w:rsidRPr="00002414" w:rsidRDefault="004C38AF" w:rsidP="009A3922">
      <w:pPr>
        <w:pStyle w:val="Heading1"/>
        <w:keepNext w:val="0"/>
        <w:jc w:val="left"/>
        <w:rPr>
          <w:rFonts w:ascii="Arial" w:hAnsi="Arial" w:cs="Arial"/>
        </w:rPr>
      </w:pPr>
      <w:r w:rsidRPr="00002414">
        <w:rPr>
          <w:rFonts w:ascii="Arial" w:hAnsi="Arial" w:cs="Arial"/>
        </w:rPr>
        <w:t>Humour</w:t>
      </w:r>
    </w:p>
    <w:p w14:paraId="7F52E088" w14:textId="77777777" w:rsidR="004C38AF" w:rsidRDefault="004C38AF" w:rsidP="009A3922">
      <w:pPr>
        <w:pStyle w:val="Heading2"/>
        <w:keepNext w:val="0"/>
        <w:jc w:val="left"/>
      </w:pPr>
      <w:r>
        <w:t xml:space="preserve">Why is Humour so Important? </w:t>
      </w:r>
    </w:p>
    <w:p w14:paraId="297CB373" w14:textId="77777777" w:rsidR="004C38AF" w:rsidRDefault="004C38AF" w:rsidP="009A3922">
      <w:pPr>
        <w:ind w:left="1440"/>
        <w:jc w:val="left"/>
      </w:pPr>
      <w:r>
        <w:t xml:space="preserve">(Adapted from Ken Davis, </w:t>
      </w:r>
      <w:r>
        <w:rPr>
          <w:i/>
        </w:rPr>
        <w:t>Secrets to Dynamic Communication</w:t>
      </w:r>
      <w:r>
        <w:t>, 117-22)</w:t>
      </w:r>
    </w:p>
    <w:p w14:paraId="2FFD07F0" w14:textId="77777777" w:rsidR="004C38AF" w:rsidRDefault="004C38AF" w:rsidP="009A3922">
      <w:pPr>
        <w:pStyle w:val="Heading3"/>
        <w:keepNext w:val="0"/>
        <w:jc w:val="left"/>
      </w:pPr>
      <w:r>
        <w:t xml:space="preserve">Humour </w:t>
      </w:r>
      <w:r>
        <w:rPr>
          <w:u w:val="single"/>
        </w:rPr>
        <w:t>softens the heart</w:t>
      </w:r>
      <w:r>
        <w:t xml:space="preserve"> (it builds rapport with the audience—it breaks down barriers between speaker and listener)</w:t>
      </w:r>
    </w:p>
    <w:p w14:paraId="19264EC4" w14:textId="77777777" w:rsidR="004C38AF" w:rsidRDefault="004C38AF" w:rsidP="009A3922">
      <w:pPr>
        <w:pStyle w:val="Heading3"/>
        <w:keepNext w:val="0"/>
        <w:jc w:val="left"/>
      </w:pPr>
      <w:r>
        <w:t xml:space="preserve">Humour </w:t>
      </w:r>
      <w:r>
        <w:rPr>
          <w:u w:val="single"/>
        </w:rPr>
        <w:t>benefits the mind and body</w:t>
      </w:r>
    </w:p>
    <w:p w14:paraId="6DA8811A" w14:textId="77777777" w:rsidR="004C38AF" w:rsidRDefault="004C38AF" w:rsidP="009A3922">
      <w:pPr>
        <w:pStyle w:val="Heading3"/>
        <w:keepNext w:val="0"/>
        <w:jc w:val="left"/>
      </w:pPr>
      <w:r>
        <w:t xml:space="preserve">Humour </w:t>
      </w:r>
      <w:r>
        <w:rPr>
          <w:u w:val="single"/>
        </w:rPr>
        <w:t>let’s the audience talk back</w:t>
      </w:r>
      <w:r>
        <w:t>—a laugh, nod, or chuckle transforms a benchwarmer into a participant</w:t>
      </w:r>
    </w:p>
    <w:p w14:paraId="746DC2B8" w14:textId="77777777" w:rsidR="004C38AF" w:rsidRDefault="004C38AF" w:rsidP="009A3922">
      <w:pPr>
        <w:pStyle w:val="Heading3"/>
        <w:keepNext w:val="0"/>
        <w:jc w:val="left"/>
      </w:pPr>
      <w:r>
        <w:t xml:space="preserve">Humour </w:t>
      </w:r>
      <w:r>
        <w:rPr>
          <w:u w:val="single"/>
        </w:rPr>
        <w:t>provides instant feedback</w:t>
      </w:r>
      <w:r>
        <w:t xml:space="preserve">—let’s you know </w:t>
      </w:r>
      <w:r w:rsidR="007773CE">
        <w:t>if you’</w:t>
      </w:r>
      <w:r>
        <w:t>re communicating</w:t>
      </w:r>
    </w:p>
    <w:p w14:paraId="31D40BD9" w14:textId="77777777" w:rsidR="004C38AF" w:rsidRDefault="004C38AF" w:rsidP="009A3922">
      <w:pPr>
        <w:pStyle w:val="Heading3"/>
        <w:keepNext w:val="0"/>
        <w:jc w:val="left"/>
      </w:pPr>
      <w:r>
        <w:t xml:space="preserve">Humour </w:t>
      </w:r>
      <w:r>
        <w:rPr>
          <w:u w:val="single"/>
        </w:rPr>
        <w:t>gets the listener’s attention</w:t>
      </w:r>
    </w:p>
    <w:p w14:paraId="2ED7592D" w14:textId="77777777" w:rsidR="004C38AF" w:rsidRDefault="004C38AF" w:rsidP="009A3922">
      <w:pPr>
        <w:pStyle w:val="Heading3"/>
        <w:keepNext w:val="0"/>
        <w:jc w:val="left"/>
      </w:pPr>
      <w:r>
        <w:t xml:space="preserve">Humour </w:t>
      </w:r>
      <w:r>
        <w:rPr>
          <w:u w:val="single"/>
        </w:rPr>
        <w:t>entertains listeners to keep their interest</w:t>
      </w:r>
    </w:p>
    <w:p w14:paraId="1684E8EB" w14:textId="77777777" w:rsidR="004C38AF" w:rsidRDefault="004C38AF" w:rsidP="009A3922">
      <w:pPr>
        <w:pStyle w:val="Heading3"/>
        <w:keepNext w:val="0"/>
        <w:jc w:val="left"/>
      </w:pPr>
      <w:r>
        <w:t xml:space="preserve">Humour typically </w:t>
      </w:r>
      <w:r>
        <w:rPr>
          <w:u w:val="single"/>
        </w:rPr>
        <w:t>catches people by surprise</w:t>
      </w:r>
    </w:p>
    <w:p w14:paraId="03E8437C" w14:textId="77777777" w:rsidR="004C38AF" w:rsidRDefault="004C38AF" w:rsidP="009A3922">
      <w:pPr>
        <w:pStyle w:val="Heading3"/>
        <w:keepNext w:val="0"/>
        <w:jc w:val="left"/>
      </w:pPr>
      <w:r>
        <w:t xml:space="preserve">Nearly </w:t>
      </w:r>
      <w:r>
        <w:rPr>
          <w:u w:val="single"/>
        </w:rPr>
        <w:t>everyone enjoys humour</w:t>
      </w:r>
      <w:r>
        <w:t>—it is truly universal</w:t>
      </w:r>
    </w:p>
    <w:p w14:paraId="0071A3CC" w14:textId="77777777" w:rsidR="004C38AF" w:rsidRDefault="004C38AF" w:rsidP="009A3922">
      <w:pPr>
        <w:pStyle w:val="Heading3"/>
        <w:keepNext w:val="0"/>
        <w:jc w:val="left"/>
      </w:pPr>
      <w:r>
        <w:t xml:space="preserve">Someone defined humour as “‘a gentle way to acknowledge human frailty.’  Put another way, humour is a way of saying, ‘I’m not okay and you’re not okay, but that’s okay, he loves us anyway!’” </w:t>
      </w:r>
      <w:proofErr w:type="gramStart"/>
      <w:r>
        <w:t>(Davis, 117).</w:t>
      </w:r>
      <w:proofErr w:type="gramEnd"/>
    </w:p>
    <w:p w14:paraId="22A581FB" w14:textId="77777777" w:rsidR="004C38AF" w:rsidRDefault="004C38AF" w:rsidP="009A3922">
      <w:pPr>
        <w:pStyle w:val="Heading2"/>
        <w:keepNext w:val="0"/>
        <w:jc w:val="left"/>
      </w:pPr>
      <w:r>
        <w:t>How to Be Funny</w:t>
      </w:r>
    </w:p>
    <w:p w14:paraId="42784EDB" w14:textId="77777777" w:rsidR="004C38AF" w:rsidRDefault="004C38AF" w:rsidP="009A3922">
      <w:pPr>
        <w:pStyle w:val="Heading3"/>
        <w:keepNext w:val="0"/>
        <w:jc w:val="left"/>
      </w:pPr>
      <w:r>
        <w:t>Start with low-risk humour.</w:t>
      </w:r>
    </w:p>
    <w:p w14:paraId="1C75F047" w14:textId="77777777" w:rsidR="004C38AF" w:rsidRDefault="004C38AF" w:rsidP="009A3922">
      <w:pPr>
        <w:pStyle w:val="Heading4"/>
        <w:keepNext w:val="0"/>
        <w:jc w:val="left"/>
      </w:pPr>
      <w:r>
        <w:t>High-risk humour can embarrass you if it is not considered funny.</w:t>
      </w:r>
    </w:p>
    <w:p w14:paraId="738FA550" w14:textId="77777777" w:rsidR="004C38AF" w:rsidRDefault="004C38AF" w:rsidP="009A3922">
      <w:pPr>
        <w:pStyle w:val="Heading5"/>
        <w:jc w:val="left"/>
      </w:pPr>
      <w:r>
        <w:t>Comedy (obvious joke) demands a</w:t>
      </w:r>
      <w:r w:rsidR="001F66B8">
        <w:t>n audience response</w:t>
      </w:r>
      <w:r>
        <w:t>.</w:t>
      </w:r>
    </w:p>
    <w:p w14:paraId="68C5DFE0" w14:textId="77777777" w:rsidR="004C38AF" w:rsidRDefault="004C38AF" w:rsidP="009A3922">
      <w:pPr>
        <w:pStyle w:val="Heading5"/>
        <w:jc w:val="left"/>
      </w:pPr>
      <w:r>
        <w:t>Ridiculous exaggeration is very visual and less cerebral.</w:t>
      </w:r>
    </w:p>
    <w:p w14:paraId="0A2A9149" w14:textId="77777777" w:rsidR="004C38AF" w:rsidRDefault="004C38AF" w:rsidP="009A3922">
      <w:pPr>
        <w:pStyle w:val="Heading4"/>
        <w:keepNext w:val="0"/>
        <w:jc w:val="left"/>
      </w:pPr>
      <w:r>
        <w:t>Low-risk humour is better for beginners and comes in two types:</w:t>
      </w:r>
    </w:p>
    <w:p w14:paraId="1E144921" w14:textId="77777777" w:rsidR="004C38AF" w:rsidRDefault="004C38AF" w:rsidP="009A3922">
      <w:pPr>
        <w:pStyle w:val="Heading5"/>
        <w:jc w:val="left"/>
      </w:pPr>
      <w:r>
        <w:t>Some jokes are so good that they never fail.</w:t>
      </w:r>
    </w:p>
    <w:p w14:paraId="0B4645E4" w14:textId="77777777" w:rsidR="004C38AF" w:rsidRDefault="004C38AF" w:rsidP="009A3922">
      <w:pPr>
        <w:pStyle w:val="Heading5"/>
        <w:jc w:val="left"/>
      </w:pPr>
      <w:r>
        <w:t>Other true stories or illustrations come from simple truth—even if the audience doesn’t laugh, the truth still remains.</w:t>
      </w:r>
    </w:p>
    <w:p w14:paraId="21F3F992" w14:textId="77777777" w:rsidR="004C38AF" w:rsidRDefault="004C38AF" w:rsidP="009A3922">
      <w:pPr>
        <w:pStyle w:val="Heading3"/>
        <w:keepNext w:val="0"/>
        <w:jc w:val="left"/>
      </w:pPr>
      <w:r>
        <w:t>Work on facial expressions and body language.</w:t>
      </w:r>
    </w:p>
    <w:p w14:paraId="27BA234B" w14:textId="77777777" w:rsidR="004C38AF" w:rsidRDefault="004C38AF" w:rsidP="009A3922">
      <w:pPr>
        <w:pStyle w:val="Heading3"/>
        <w:keepNext w:val="0"/>
        <w:jc w:val="left"/>
      </w:pPr>
      <w:r>
        <w:t>Work on eye contact—make sure you’re looking at the people!</w:t>
      </w:r>
    </w:p>
    <w:p w14:paraId="2AE8B223" w14:textId="77777777" w:rsidR="004C38AF" w:rsidRDefault="004C38AF" w:rsidP="009A3922">
      <w:pPr>
        <w:pStyle w:val="Heading3"/>
        <w:keepNext w:val="0"/>
        <w:jc w:val="left"/>
      </w:pPr>
      <w:r>
        <w:t>Be yourself—if it feels like you are overdoing it, tone it down.</w:t>
      </w:r>
    </w:p>
    <w:p w14:paraId="3C06C3E7" w14:textId="77777777" w:rsidR="004C38AF" w:rsidRDefault="004C38AF" w:rsidP="009A3922">
      <w:pPr>
        <w:pStyle w:val="Heading3"/>
        <w:keepNext w:val="0"/>
        <w:jc w:val="left"/>
      </w:pPr>
      <w:r>
        <w:t>Never wait for laughter—if it doesn’t come, just continue on.</w:t>
      </w:r>
    </w:p>
    <w:p w14:paraId="6A9650ED" w14:textId="21192072" w:rsidR="004C38AF" w:rsidRDefault="004C38AF" w:rsidP="009A3922">
      <w:pPr>
        <w:pStyle w:val="Heading3"/>
        <w:keepNext w:val="0"/>
        <w:jc w:val="left"/>
      </w:pPr>
      <w:r>
        <w:t xml:space="preserve">Types of humour to avoid include those </w:t>
      </w:r>
      <w:r w:rsidR="0019750F">
        <w:t>that</w:t>
      </w:r>
      <w:r>
        <w:t xml:space="preserve"> make others look bad: other ethnic groups, politicians and other persons of authority (e.g., pastors).</w:t>
      </w:r>
    </w:p>
    <w:p w14:paraId="23AB9666" w14:textId="747D3BCC" w:rsidR="004C38AF" w:rsidRDefault="004C38AF" w:rsidP="009A3922">
      <w:pPr>
        <w:pStyle w:val="Heading3"/>
        <w:keepNext w:val="0"/>
        <w:jc w:val="left"/>
      </w:pPr>
      <w:r>
        <w:t xml:space="preserve">If you know a church </w:t>
      </w:r>
      <w:r w:rsidR="00096915">
        <w:t>that</w:t>
      </w:r>
      <w:r>
        <w:t xml:space="preserve"> does not appreciate humour, tone down your presentation in content and especially facial expressions and body language.</w:t>
      </w:r>
    </w:p>
    <w:p w14:paraId="08B59C07" w14:textId="77777777" w:rsidR="004C38AF" w:rsidRDefault="004C38AF" w:rsidP="009A3922">
      <w:pPr>
        <w:pStyle w:val="Heading3"/>
        <w:keepNext w:val="0"/>
        <w:jc w:val="left"/>
      </w:pPr>
      <w:r>
        <w:lastRenderedPageBreak/>
        <w:t xml:space="preserve">If you are unsure </w:t>
      </w:r>
      <w:r w:rsidR="007773CE">
        <w:t>if</w:t>
      </w:r>
      <w:r>
        <w:t xml:space="preserve"> a certain story or joke would be appropriate, check it out with a leader in the group.  Sometimes I email my opening joke to the board chairman or pastor if I suspect it might have offensive elements.</w:t>
      </w:r>
    </w:p>
    <w:p w14:paraId="3A2F6B45" w14:textId="77777777" w:rsidR="004C38AF" w:rsidRDefault="004C38AF" w:rsidP="009A3922">
      <w:pPr>
        <w:pStyle w:val="Heading3"/>
        <w:keepNext w:val="0"/>
        <w:jc w:val="left"/>
      </w:pPr>
      <w:r>
        <w:t>Watch other</w:t>
      </w:r>
      <w:r w:rsidR="00E3200B">
        <w:t>s</w:t>
      </w:r>
      <w:r>
        <w:t xml:space="preserve"> succeed or fail </w:t>
      </w:r>
      <w:r w:rsidR="00E3200B">
        <w:t>at</w:t>
      </w:r>
      <w:r>
        <w:t xml:space="preserve"> humour—ask why it worked or didn’t work.</w:t>
      </w:r>
    </w:p>
    <w:p w14:paraId="48330EC8" w14:textId="77777777" w:rsidR="004C38AF" w:rsidRDefault="004C38AF" w:rsidP="009A3922">
      <w:pPr>
        <w:pStyle w:val="Heading3"/>
        <w:keepNext w:val="0"/>
        <w:jc w:val="left"/>
      </w:pPr>
      <w:r>
        <w:t xml:space="preserve">Practice your stories with your spouse, friends, and others who will listen.  Have them watch for timing, order, </w:t>
      </w:r>
      <w:proofErr w:type="gramStart"/>
      <w:r>
        <w:t>details</w:t>
      </w:r>
      <w:proofErr w:type="gramEnd"/>
      <w:r>
        <w:t xml:space="preserve"> in the story, facial expression, voice inflection, and body movement.</w:t>
      </w:r>
    </w:p>
    <w:p w14:paraId="69CAEAE4" w14:textId="77777777" w:rsidR="004C38AF" w:rsidRDefault="004C38AF" w:rsidP="009A3922">
      <w:pPr>
        <w:pStyle w:val="Heading2"/>
        <w:keepNext w:val="0"/>
        <w:jc w:val="left"/>
      </w:pPr>
      <w:r>
        <w:t>Sources for Good Humour</w:t>
      </w:r>
    </w:p>
    <w:p w14:paraId="28A21DAC" w14:textId="77777777" w:rsidR="004C38AF" w:rsidRDefault="004C38AF" w:rsidP="009A3922">
      <w:pPr>
        <w:pStyle w:val="Heading3"/>
        <w:keepNext w:val="0"/>
        <w:jc w:val="left"/>
      </w:pPr>
      <w:proofErr w:type="spellStart"/>
      <w:r>
        <w:t>Hodgin</w:t>
      </w:r>
      <w:proofErr w:type="spellEnd"/>
      <w:r>
        <w:t xml:space="preserve">, Michael.  </w:t>
      </w:r>
      <w:proofErr w:type="gramStart"/>
      <w:r>
        <w:rPr>
          <w:i/>
        </w:rPr>
        <w:t>1001 Humorous Illustrations for Public Speaking</w:t>
      </w:r>
      <w:r>
        <w:t>.</w:t>
      </w:r>
      <w:proofErr w:type="gramEnd"/>
      <w:r>
        <w:t xml:space="preserve">  Grand Rapids: Zondervan, 1994.  </w:t>
      </w:r>
    </w:p>
    <w:p w14:paraId="6E591816" w14:textId="4EC77F63" w:rsidR="004C38AF" w:rsidRDefault="004C38AF" w:rsidP="009A3922">
      <w:pPr>
        <w:pStyle w:val="Heading3"/>
        <w:keepNext w:val="0"/>
        <w:jc w:val="left"/>
      </w:pPr>
      <w:proofErr w:type="gramStart"/>
      <w:r>
        <w:t>James, G. D.</w:t>
      </w:r>
      <w:proofErr w:type="gramEnd"/>
      <w:r>
        <w:t xml:space="preserve">  </w:t>
      </w:r>
      <w:proofErr w:type="gramStart"/>
      <w:r>
        <w:rPr>
          <w:i/>
        </w:rPr>
        <w:t>Tales Worth Telling.</w:t>
      </w:r>
      <w:proofErr w:type="gramEnd"/>
      <w:r>
        <w:t xml:space="preserve">  Dr. G. D. James Multimedia, P.O. Box 122 Epping, N</w:t>
      </w:r>
      <w:r w:rsidR="00E3200B">
        <w:t xml:space="preserve">.S.W. 2121 </w:t>
      </w:r>
      <w:r w:rsidR="00096915">
        <w:t>Australia</w:t>
      </w:r>
      <w:r w:rsidR="00E3200B">
        <w:t xml:space="preserve">.  </w:t>
      </w:r>
      <w:proofErr w:type="gramStart"/>
      <w:r w:rsidR="00E3200B">
        <w:t xml:space="preserve">Funny stories </w:t>
      </w:r>
      <w:r>
        <w:t>in an Asian context.</w:t>
      </w:r>
      <w:proofErr w:type="gramEnd"/>
    </w:p>
    <w:p w14:paraId="6AFE0491" w14:textId="77777777" w:rsidR="004C38AF" w:rsidRPr="00002414" w:rsidRDefault="004C38AF" w:rsidP="00B00034">
      <w:pPr>
        <w:pStyle w:val="Heading1"/>
        <w:keepNext w:val="0"/>
        <w:rPr>
          <w:rFonts w:ascii="Arial" w:hAnsi="Arial" w:cs="Arial"/>
        </w:rPr>
      </w:pPr>
      <w:bookmarkStart w:id="0" w:name="_GoBack"/>
      <w:r w:rsidRPr="00002414">
        <w:rPr>
          <w:rFonts w:ascii="Arial" w:hAnsi="Arial" w:cs="Arial"/>
        </w:rPr>
        <w:t>Storytelling</w:t>
      </w:r>
    </w:p>
    <w:bookmarkEnd w:id="0"/>
    <w:p w14:paraId="2E022331" w14:textId="77777777" w:rsidR="004C38AF" w:rsidRDefault="004C38AF" w:rsidP="009A3922">
      <w:pPr>
        <w:pStyle w:val="Heading2"/>
        <w:keepNext w:val="0"/>
        <w:jc w:val="left"/>
      </w:pPr>
      <w:r>
        <w:t>How to Tell Stories</w:t>
      </w:r>
    </w:p>
    <w:p w14:paraId="230CD3A9" w14:textId="77777777" w:rsidR="004C38AF" w:rsidRDefault="004C38AF" w:rsidP="009A3922">
      <w:pPr>
        <w:pStyle w:val="Heading3"/>
        <w:keepNext w:val="0"/>
        <w:jc w:val="left"/>
      </w:pPr>
      <w:r>
        <w:t>Follow the guidelines for humour above (cf. advantages to stories on p. 107).</w:t>
      </w:r>
    </w:p>
    <w:p w14:paraId="3E20D176" w14:textId="77777777" w:rsidR="004C38AF" w:rsidRDefault="004C38AF" w:rsidP="009A3922">
      <w:pPr>
        <w:pStyle w:val="Heading3"/>
        <w:keepNext w:val="0"/>
        <w:jc w:val="left"/>
      </w:pPr>
      <w:r>
        <w:t>Follow the guidelines on page 112.</w:t>
      </w:r>
    </w:p>
    <w:p w14:paraId="0C107842" w14:textId="77777777" w:rsidR="004C38AF" w:rsidRDefault="004C38AF" w:rsidP="009A3922">
      <w:pPr>
        <w:pStyle w:val="Heading3"/>
        <w:keepNext w:val="0"/>
        <w:jc w:val="left"/>
      </w:pPr>
      <w:r>
        <w:t xml:space="preserve">Never give the conclusion to the story up front.  </w:t>
      </w:r>
    </w:p>
    <w:p w14:paraId="6EE22E07" w14:textId="77777777" w:rsidR="004C38AF" w:rsidRDefault="004C38AF" w:rsidP="009A3922">
      <w:pPr>
        <w:pStyle w:val="Heading4"/>
        <w:keepNext w:val="0"/>
        <w:jc w:val="left"/>
      </w:pPr>
      <w:r>
        <w:t>If you use a st</w:t>
      </w:r>
      <w:r w:rsidR="001F66B8">
        <w:t>ory to illustrate, don’</w:t>
      </w:r>
      <w:r>
        <w:t xml:space="preserve">t state </w:t>
      </w:r>
      <w:r w:rsidR="001F66B8">
        <w:t>the</w:t>
      </w:r>
      <w:r>
        <w:t xml:space="preserve"> point deductively.  </w:t>
      </w:r>
    </w:p>
    <w:p w14:paraId="760CA944" w14:textId="77777777" w:rsidR="004C38AF" w:rsidRDefault="004C38AF" w:rsidP="009A3922">
      <w:pPr>
        <w:pStyle w:val="Heading4"/>
        <w:keepNext w:val="0"/>
        <w:jc w:val="left"/>
      </w:pPr>
      <w:r>
        <w:t>Rather, place the point in brackets in your outline, meaning that you won’t be saying the content of the bracketed area at that time.  Instead, say this after the illustration (e.g., p. 86).</w:t>
      </w:r>
    </w:p>
    <w:p w14:paraId="5EC6971A" w14:textId="77777777" w:rsidR="004C38AF" w:rsidRDefault="004C38AF" w:rsidP="009A3922">
      <w:pPr>
        <w:pStyle w:val="Heading2"/>
        <w:keepNext w:val="0"/>
        <w:jc w:val="left"/>
      </w:pPr>
      <w:r>
        <w:t>Sources for Good Storytelling</w:t>
      </w:r>
    </w:p>
    <w:p w14:paraId="039FB4F6" w14:textId="77777777" w:rsidR="004C38AF" w:rsidRDefault="004C38AF" w:rsidP="009A3922">
      <w:pPr>
        <w:pStyle w:val="Heading3"/>
        <w:keepNext w:val="0"/>
        <w:jc w:val="left"/>
      </w:pPr>
      <w:r>
        <w:t xml:space="preserve">Barrett, Ethel.  </w:t>
      </w:r>
      <w:r>
        <w:rPr>
          <w:i/>
        </w:rPr>
        <w:t xml:space="preserve">Storytelling—It’s Easy!  </w:t>
      </w:r>
      <w:r>
        <w:t>Los Angeles: Cowman Pub</w:t>
      </w:r>
      <w:proofErr w:type="gramStart"/>
      <w:r>
        <w:t>.,</w:t>
      </w:r>
      <w:proofErr w:type="gramEnd"/>
      <w:r>
        <w:t xml:space="preserve"> Inc., 1960.  Here’s a genuinely funny woman’s practical advice.</w:t>
      </w:r>
    </w:p>
    <w:p w14:paraId="20EE0627" w14:textId="77777777" w:rsidR="004C38AF" w:rsidRDefault="004C38AF" w:rsidP="009A3922">
      <w:pPr>
        <w:pStyle w:val="Heading3"/>
        <w:keepNext w:val="0"/>
        <w:jc w:val="left"/>
      </w:pPr>
      <w:r>
        <w:t>Grant, Reg and Reed,</w:t>
      </w:r>
      <w:r>
        <w:rPr>
          <w:i/>
        </w:rPr>
        <w:t xml:space="preserve"> </w:t>
      </w:r>
      <w:r>
        <w:t xml:space="preserve">John.  </w:t>
      </w:r>
      <w:r>
        <w:rPr>
          <w:i/>
        </w:rPr>
        <w:t xml:space="preserve">Telling Stories to Touch the Heart: How to Use Stories to Communicate God’s Truth.  </w:t>
      </w:r>
      <w:r>
        <w:t>Wheaton: Victor, 1990.  Some of their helpful ideas are summarized on pages 7-8, 113-14 of the Homiletics I notes.</w:t>
      </w:r>
    </w:p>
    <w:p w14:paraId="666ED644" w14:textId="77777777" w:rsidR="00592488" w:rsidRDefault="00592488" w:rsidP="009A3922">
      <w:pPr>
        <w:jc w:val="left"/>
      </w:pPr>
    </w:p>
    <w:p w14:paraId="451ECF36" w14:textId="77777777" w:rsidR="004C38AF" w:rsidRDefault="004C38AF" w:rsidP="009A3922">
      <w:pPr>
        <w:tabs>
          <w:tab w:val="left" w:pos="6480"/>
        </w:tabs>
        <w:ind w:right="-80"/>
        <w:jc w:val="left"/>
      </w:pPr>
    </w:p>
    <w:sectPr w:rsidR="004C38AF" w:rsidSect="008F68E8">
      <w:headerReference w:type="default" r:id="rId8"/>
      <w:pgSz w:w="11880" w:h="16819"/>
      <w:pgMar w:top="720" w:right="1022" w:bottom="720" w:left="1238" w:header="720" w:footer="720" w:gutter="0"/>
      <w:pgNumType w:start="252"/>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90B5D" w14:textId="77777777" w:rsidR="008216D0" w:rsidRDefault="008216D0">
      <w:r>
        <w:separator/>
      </w:r>
    </w:p>
  </w:endnote>
  <w:endnote w:type="continuationSeparator" w:id="0">
    <w:p w14:paraId="64BDA065" w14:textId="77777777" w:rsidR="008216D0" w:rsidRDefault="0082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022A8" w14:textId="77777777" w:rsidR="008216D0" w:rsidRDefault="008216D0">
      <w:r>
        <w:separator/>
      </w:r>
    </w:p>
  </w:footnote>
  <w:footnote w:type="continuationSeparator" w:id="0">
    <w:p w14:paraId="308CA05D" w14:textId="77777777" w:rsidR="008216D0" w:rsidRDefault="008216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2525" w14:textId="77777777" w:rsidR="004C38AF" w:rsidRPr="00F30338" w:rsidRDefault="004C38AF">
    <w:pPr>
      <w:pStyle w:val="Header"/>
      <w:framePr w:wrap="around" w:vAnchor="text" w:hAnchor="margin" w:xAlign="right" w:y="1"/>
      <w:rPr>
        <w:rStyle w:val="PageNumber"/>
        <w:i/>
      </w:rPr>
    </w:pPr>
    <w:r w:rsidRPr="00F30338">
      <w:rPr>
        <w:rStyle w:val="PageNumber"/>
        <w:i/>
      </w:rPr>
      <w:fldChar w:fldCharType="begin"/>
    </w:r>
    <w:r w:rsidRPr="00F30338">
      <w:rPr>
        <w:rStyle w:val="PageNumber"/>
        <w:i/>
      </w:rPr>
      <w:instrText xml:space="preserve">PAGE  </w:instrText>
    </w:r>
    <w:r w:rsidRPr="00F30338">
      <w:rPr>
        <w:rStyle w:val="PageNumber"/>
        <w:i/>
      </w:rPr>
      <w:fldChar w:fldCharType="separate"/>
    </w:r>
    <w:r w:rsidR="00002414">
      <w:rPr>
        <w:rStyle w:val="PageNumber"/>
        <w:i/>
        <w:noProof/>
      </w:rPr>
      <w:t>253</w:t>
    </w:r>
    <w:r w:rsidRPr="00F30338">
      <w:rPr>
        <w:rStyle w:val="PageNumber"/>
        <w:i/>
      </w:rPr>
      <w:fldChar w:fldCharType="end"/>
    </w:r>
  </w:p>
  <w:p w14:paraId="51A3AAAC" w14:textId="77777777" w:rsidR="004C38AF" w:rsidRPr="00F30338" w:rsidRDefault="004C38AF">
    <w:pPr>
      <w:pStyle w:val="Header"/>
      <w:tabs>
        <w:tab w:val="clear" w:pos="4320"/>
        <w:tab w:val="clear" w:pos="8640"/>
        <w:tab w:val="center" w:pos="4800"/>
        <w:tab w:val="right" w:pos="9660"/>
      </w:tabs>
      <w:ind w:right="360"/>
      <w:rPr>
        <w:i/>
        <w:u w:val="single"/>
      </w:rPr>
    </w:pPr>
    <w:r w:rsidRPr="00F30338">
      <w:rPr>
        <w:i/>
        <w:u w:val="single"/>
      </w:rPr>
      <w:t>Rick Griffith, PhD</w:t>
    </w:r>
    <w:r w:rsidRPr="00F30338">
      <w:rPr>
        <w:i/>
        <w:u w:val="single"/>
      </w:rPr>
      <w:tab/>
      <w:t>Homiletics II</w:t>
    </w:r>
    <w:r w:rsidRPr="00F30338">
      <w:rPr>
        <w:i/>
        <w:u w:val="single"/>
      </w:rPr>
      <w:tab/>
    </w:r>
  </w:p>
  <w:p w14:paraId="0ED76519" w14:textId="77777777" w:rsidR="004C38AF" w:rsidRPr="00F30338" w:rsidRDefault="004C38AF">
    <w:pPr>
      <w:pStyle w:val="Header"/>
      <w:tabs>
        <w:tab w:val="clear" w:pos="8640"/>
        <w:tab w:val="right" w:pos="9660"/>
      </w:tabs>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14EF1C4"/>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9BB036DC"/>
    <w:lvl w:ilvl="0">
      <w:numFmt w:val="bullet"/>
      <w:lvlText w:val="*"/>
      <w:lvlJc w:val="left"/>
    </w:lvl>
  </w:abstractNum>
  <w:abstractNum w:abstractNumId="2">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num w:numId="1">
    <w:abstractNumId w:val="0"/>
  </w:num>
  <w:num w:numId="2">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DD"/>
    <w:rsid w:val="00002414"/>
    <w:rsid w:val="00096915"/>
    <w:rsid w:val="00102FAF"/>
    <w:rsid w:val="00120B2C"/>
    <w:rsid w:val="001803F9"/>
    <w:rsid w:val="0019750F"/>
    <w:rsid w:val="001F66B8"/>
    <w:rsid w:val="004C38AF"/>
    <w:rsid w:val="004D424C"/>
    <w:rsid w:val="00550E7B"/>
    <w:rsid w:val="00561C2F"/>
    <w:rsid w:val="00592488"/>
    <w:rsid w:val="005E0C2C"/>
    <w:rsid w:val="006B2648"/>
    <w:rsid w:val="007773CE"/>
    <w:rsid w:val="008216D0"/>
    <w:rsid w:val="008F68E8"/>
    <w:rsid w:val="009A3922"/>
    <w:rsid w:val="00B00034"/>
    <w:rsid w:val="00B86FF9"/>
    <w:rsid w:val="00C34C0C"/>
    <w:rsid w:val="00DA78C2"/>
    <w:rsid w:val="00DC61DD"/>
    <w:rsid w:val="00E3200B"/>
    <w:rsid w:val="00E867EC"/>
    <w:rsid w:val="00EA6CBF"/>
    <w:rsid w:val="00FA1CD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DFD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Times" w:hAnsi="Times"/>
      <w:sz w:val="24"/>
      <w:lang w:val="en-US"/>
    </w:rPr>
  </w:style>
  <w:style w:type="paragraph" w:styleId="Heading1">
    <w:name w:val="heading 1"/>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E86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EC"/>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Times" w:hAnsi="Times"/>
      <w:sz w:val="24"/>
      <w:lang w:val="en-US"/>
    </w:rPr>
  </w:style>
  <w:style w:type="paragraph" w:styleId="Heading1">
    <w:name w:val="heading 1"/>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Helvetica" w:hAnsi="Helvetica"/>
      <w:i/>
      <w:sz w:val="22"/>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E867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E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SBC</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Rick Griffith</dc:creator>
  <cp:keywords/>
  <cp:lastModifiedBy>Rick Griffith</cp:lastModifiedBy>
  <cp:revision>2</cp:revision>
  <cp:lastPrinted>2009-01-16T03:15:00Z</cp:lastPrinted>
  <dcterms:created xsi:type="dcterms:W3CDTF">2018-02-22T07:44:00Z</dcterms:created>
  <dcterms:modified xsi:type="dcterms:W3CDTF">2018-02-22T07:44:00Z</dcterms:modified>
</cp:coreProperties>
</file>